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车辆租赁业务</w:t>
      </w:r>
    </w:p>
    <w:p>
      <w:pPr>
        <w:pStyle w:val="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公司名称：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一、租赁车辆服务内容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1.穿梭车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周一至周六（含假期调休及国家法定工作日），以实际发生的服务时间为准</w:t>
      </w:r>
    </w:p>
    <w:p>
      <w:pPr>
        <w:spacing w:line="46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②服务内容及单价</w:t>
      </w:r>
    </w:p>
    <w:tbl>
      <w:tblPr>
        <w:tblStyle w:val="5"/>
        <w:tblpPr w:leftFromText="180" w:rightFromText="180" w:vertAnchor="text" w:horzAnchor="page" w:tblpXSpec="center" w:tblpY="441"/>
        <w:tblOverlap w:val="never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260"/>
        <w:gridCol w:w="1190"/>
        <w:gridCol w:w="1366"/>
        <w:gridCol w:w="1226"/>
        <w:gridCol w:w="1240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路线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备车时间</w:t>
            </w:r>
          </w:p>
        </w:tc>
        <w:tc>
          <w:tcPr>
            <w:tcW w:w="1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用车时间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（逢周一至周六）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用车起点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用车止点</w:t>
            </w:r>
          </w:p>
        </w:tc>
        <w:tc>
          <w:tcPr>
            <w:tcW w:w="1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单次往返价格（元）</w:t>
            </w:r>
          </w:p>
        </w:tc>
        <w:tc>
          <w:tcPr>
            <w:tcW w:w="261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路线一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上午7：50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上午8：00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pStyle w:val="2"/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用途：被服器械、标本运输车，承租人需提供消毒场地、药品及工具，并提供搬运人员。</w:t>
            </w:r>
          </w:p>
          <w:p>
            <w:pPr>
              <w:pStyle w:val="2"/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去程：东川路→平洲→惠福分院→东川路</w:t>
            </w:r>
          </w:p>
          <w:p>
            <w:pPr>
              <w:pStyle w:val="2"/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回程：东川路→平洲→东川路→惠福分院→东川路</w:t>
            </w:r>
          </w:p>
          <w:p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车型：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金杯或同等面包车</w:t>
            </w:r>
          </w:p>
          <w:p>
            <w:pPr>
              <w:pStyle w:val="2"/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下午12:50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下午13：00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路线二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上午7：20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上午7：30(周六停开)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pStyle w:val="2"/>
            </w:pPr>
          </w:p>
        </w:tc>
        <w:tc>
          <w:tcPr>
            <w:tcW w:w="261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用途：惠福分院空调中巴班车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去程：东川路→惠福分院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回程：惠福分院→东川路</w:t>
            </w:r>
          </w:p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车型：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宇通或同等39座大客车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下午17：50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下午18：00(周六停开)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10" w:hanging="110" w:hangingChars="5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路线三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上午7：20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上午7：30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用途：急诊至惠福分院空调大巴交通车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去程：东川路→惠福分院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回程：惠福分院→东川路</w:t>
            </w:r>
          </w:p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车型：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宇通或同等55座大客车</w:t>
            </w:r>
          </w:p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43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下午17：10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下午17：20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4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下午18:05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下午18:15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东川路急诊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ind w:left="110" w:hanging="110" w:hangingChars="5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路线四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上午8：05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上午8：15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用途：惠福患者门诊空调穿梭巴士（中途不设上落站，星期六只开上午2个单程）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去程：惠福分院→东川路</w:t>
            </w: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回程：东川路→惠福分院</w:t>
            </w:r>
            <w:r>
              <w:rPr>
                <w:rFonts w:ascii="仿宋" w:hAnsi="仿宋" w:eastAsia="仿宋" w:cs="仿宋"/>
                <w:bCs/>
                <w:sz w:val="22"/>
                <w:szCs w:val="22"/>
              </w:rPr>
              <w:t xml:space="preserve"> </w:t>
            </w:r>
          </w:p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车型：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宇通或同等39座大客车</w:t>
            </w:r>
          </w:p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上午8：50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上午9：00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上午9：20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上午9：30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上午10：20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上午10：30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上午11：00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上午11：10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上午11：30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上午11：50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下午13：55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下午14：05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下午15：20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下午15：30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下午16：00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下午16：10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东川路主体楼正门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ind w:left="110" w:hanging="110" w:hangingChars="50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下午16：30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下午16：50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主体楼中心花园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惠福分院</w:t>
            </w:r>
          </w:p>
        </w:tc>
        <w:tc>
          <w:tcPr>
            <w:tcW w:w="12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261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</w:tbl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③司机服务要求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A.礼貌待人，不与乘客冲突争吵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B.发车前巡车一遍，提醒乘客佩戴安全带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C.车辆停放医院期间，服从院方管理，不乱停放、乱摁喇叭等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④其他服务要求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A.乙方须定期对司乘服务人员进行安全教育培训，并提交培训记录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B.司乘服务人员如非甲方要求，需保持长期稳定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C.乙方临时更换司乘人员，需提前通知甲方，否则由其引发的班车误点等系列问题，均为乙方责任，乙方派出司乘人员应提供加盖乙方公章花名册，并提供驾驶证复印件备案。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D.车辆使用年限符合国家相关规定，车况良好</w:t>
      </w:r>
    </w:p>
    <w:p>
      <w:pPr>
        <w:pStyle w:val="2"/>
      </w:pPr>
    </w:p>
    <w:p>
      <w:pPr>
        <w:spacing w:line="46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2.临时零星租车</w:t>
      </w:r>
    </w:p>
    <w:p>
      <w:pPr>
        <w:pStyle w:val="2"/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①服务时间：按甲方要求提供服务，至少提前2小时，紧急情况要求立即出车。</w:t>
      </w: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②服务内容及单价：</w:t>
      </w:r>
    </w:p>
    <w:tbl>
      <w:tblPr>
        <w:tblStyle w:val="6"/>
        <w:tblpPr w:leftFromText="180" w:rightFromText="180" w:vertAnchor="text" w:horzAnchor="page" w:tblpX="1435" w:tblpY="538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30"/>
        <w:gridCol w:w="870"/>
        <w:gridCol w:w="908"/>
        <w:gridCol w:w="907"/>
        <w:gridCol w:w="945"/>
        <w:gridCol w:w="888"/>
        <w:gridCol w:w="871"/>
        <w:gridCol w:w="889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车型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品牌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半日价（元）</w:t>
            </w:r>
          </w:p>
        </w:tc>
        <w:tc>
          <w:tcPr>
            <w:tcW w:w="908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日租价（元）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超时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（元/小时）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（公里/半天）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（公里/天）</w:t>
            </w:r>
          </w:p>
        </w:tc>
        <w:tc>
          <w:tcPr>
            <w:tcW w:w="871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超公里数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（元/公里）</w:t>
            </w:r>
          </w:p>
        </w:tc>
        <w:tc>
          <w:tcPr>
            <w:tcW w:w="889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市区接送南站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（元/趟）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市区接送机场</w:t>
            </w:r>
          </w:p>
          <w:p>
            <w:pPr>
              <w:pStyle w:val="2"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7座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金杯或同等</w:t>
            </w:r>
          </w:p>
        </w:tc>
        <w:tc>
          <w:tcPr>
            <w:tcW w:w="87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9座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金杯或同等</w:t>
            </w:r>
          </w:p>
        </w:tc>
        <w:tc>
          <w:tcPr>
            <w:tcW w:w="87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11座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阁瑞斯或同等</w:t>
            </w:r>
          </w:p>
        </w:tc>
        <w:tc>
          <w:tcPr>
            <w:tcW w:w="87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15座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江铃或同等</w:t>
            </w:r>
          </w:p>
        </w:tc>
        <w:tc>
          <w:tcPr>
            <w:tcW w:w="870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中巴（不少于20座）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宇通/金龙/福田或同等</w:t>
            </w:r>
          </w:p>
        </w:tc>
        <w:tc>
          <w:tcPr>
            <w:tcW w:w="870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大巴（不少于39座）</w:t>
            </w:r>
          </w:p>
        </w:tc>
        <w:tc>
          <w:tcPr>
            <w:tcW w:w="1130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宇通/金龙/福田或同等</w:t>
            </w:r>
          </w:p>
        </w:tc>
        <w:tc>
          <w:tcPr>
            <w:tcW w:w="870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7" w:type="dxa"/>
          </w:tcPr>
          <w:p>
            <w:pPr>
              <w:pStyle w:val="2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5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80</w:t>
            </w:r>
          </w:p>
        </w:tc>
        <w:tc>
          <w:tcPr>
            <w:tcW w:w="888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871" w:type="dxa"/>
          </w:tcPr>
          <w:p>
            <w:pPr>
              <w:pStyle w:val="2"/>
              <w:rPr>
                <w:rFonts w:ascii="仿宋" w:hAnsi="仿宋" w:eastAsia="仿宋" w:cs="仿宋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8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129" w:type="dxa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356" w:type="dxa"/>
            <w:gridSpan w:val="10"/>
          </w:tcPr>
          <w:p>
            <w:pPr>
              <w:pStyle w:val="2"/>
              <w:tabs>
                <w:tab w:val="left" w:pos="2337"/>
              </w:tabs>
              <w:spacing w:before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费用含税点、驾驶员工资、车辆燃油费、维修保养费、保险、年审费等；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56" w:type="dxa"/>
            <w:gridSpan w:val="10"/>
          </w:tcPr>
          <w:p>
            <w:pPr>
              <w:pStyle w:val="2"/>
              <w:tabs>
                <w:tab w:val="left" w:pos="2337"/>
              </w:tabs>
              <w:spacing w:before="0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半日为出车时长4小时，80公里，整日为出车时长8小时，200公里。（出车指车辆到达发车点为起算时间和公里数）。若超过以上时长则计入超时费，超过此公里数计算超公里费，若超过半日时长或公里数，甲方可根据实际情况或按整日结算或计算超时、超公里费。</w:t>
            </w:r>
          </w:p>
        </w:tc>
      </w:tr>
    </w:tbl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③、司机服务要求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A.礼貌待人，不与乘客冲突争吵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B.发车前巡车一遍，提醒乘客佩戴安全带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C.车辆停放医院期间，服从院方管理，不乱停放、乱摁喇叭等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④其他服务要求: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A.车辆使用年限符合国家相关规定，车况良好 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B.乙方须定期（车辆每行驶5000公里）对车辆进行维护保养，保障车辆安全状况；如因车辆自身故障引起的拖车施救费、维修费、交通费等系列费用，均由乙方负责；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C.应急租车，乙方临时没有相应车辆的情况下，也应主动协助院方联系其他租赁公司，予以配套服务。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D.计价方式：医院只承担车辆路桥费用，每月乙方凭路桥费发票与租车实际发生数量一并办理结算。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二、租赁驾驶员业务内容</w:t>
      </w:r>
    </w:p>
    <w:p>
      <w:pPr>
        <w:pStyle w:val="2"/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①服务时间：按甲方要求提供服务，至少提前2小时，紧急情况要求立即派人。</w:t>
      </w: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②服务内容及单价：</w:t>
      </w:r>
    </w:p>
    <w:tbl>
      <w:tblPr>
        <w:tblStyle w:val="6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72"/>
        <w:gridCol w:w="1772"/>
        <w:gridCol w:w="181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0" w:type="dxa"/>
          </w:tcPr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日服务费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（元/8时/人）</w:t>
            </w:r>
          </w:p>
        </w:tc>
        <w:tc>
          <w:tcPr>
            <w:tcW w:w="2072" w:type="dxa"/>
          </w:tcPr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月服务费</w:t>
            </w:r>
          </w:p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（元/176时/人）</w:t>
            </w:r>
          </w:p>
        </w:tc>
        <w:tc>
          <w:tcPr>
            <w:tcW w:w="1772" w:type="dxa"/>
          </w:tcPr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年服务费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（万元/人）</w:t>
            </w:r>
          </w:p>
        </w:tc>
        <w:tc>
          <w:tcPr>
            <w:tcW w:w="1819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5人年服务费</w:t>
            </w:r>
          </w:p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（万元/年）</w:t>
            </w:r>
          </w:p>
        </w:tc>
        <w:tc>
          <w:tcPr>
            <w:tcW w:w="1400" w:type="dxa"/>
          </w:tcPr>
          <w:p>
            <w:pPr>
              <w:pStyle w:val="2"/>
              <w:spacing w:before="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加班费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（元/时）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80" w:type="dxa"/>
          </w:tcPr>
          <w:p>
            <w:pPr>
              <w:pStyle w:val="2"/>
            </w:pPr>
          </w:p>
        </w:tc>
        <w:tc>
          <w:tcPr>
            <w:tcW w:w="2072" w:type="dxa"/>
          </w:tcPr>
          <w:p>
            <w:pPr>
              <w:pStyle w:val="2"/>
            </w:pPr>
          </w:p>
        </w:tc>
        <w:tc>
          <w:tcPr>
            <w:tcW w:w="1772" w:type="dxa"/>
          </w:tcPr>
          <w:p>
            <w:pPr>
              <w:pStyle w:val="2"/>
            </w:pPr>
          </w:p>
        </w:tc>
        <w:tc>
          <w:tcPr>
            <w:tcW w:w="1819" w:type="dxa"/>
          </w:tcPr>
          <w:p>
            <w:pPr>
              <w:pStyle w:val="2"/>
            </w:pPr>
          </w:p>
        </w:tc>
        <w:tc>
          <w:tcPr>
            <w:tcW w:w="1400" w:type="dxa"/>
          </w:tcPr>
          <w:p>
            <w:pPr>
              <w:pStyle w:val="2"/>
            </w:pPr>
          </w:p>
        </w:tc>
      </w:tr>
    </w:tbl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其中乙方必须按甲方支付月服务费（不包含个人部分的五险一金）≥68%付给驾驶员；加班费另计。如有额外加班服务，则乙方必须按甲方支付加班费≥80%付给驾驶员。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③驾驶员服务要求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A.持C1牌（A牌优先）有效驾驶证，驾龄5年及以上，在广州市驾驶车辆3年及以上，驾驶技术娴熟，熟悉广州市道路交通环境。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B.无不良驾驶记录、无发生过重大事故及交通违章，具有较强的安全意识、服务意识。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C.礼貌待人，不与乘客冲突争吵。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D.发车前巡车一遍，提醒乘客佩戴安全带</w:t>
      </w:r>
    </w:p>
    <w:p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E.车辆停放医院期间，服从院方管理，不乱停放、乱摁喇叭等。</w:t>
      </w:r>
    </w:p>
    <w:p>
      <w:pPr>
        <w:pStyle w:val="2"/>
      </w:pPr>
    </w:p>
    <w:sectPr>
      <w:pgSz w:w="11906" w:h="16838"/>
      <w:pgMar w:top="102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5Y2IzMTNlNjhhNDViMThlNmNhYTA3YTYwNWE5NTYifQ=="/>
  </w:docVars>
  <w:rsids>
    <w:rsidRoot w:val="4BF3417D"/>
    <w:rsid w:val="000F0743"/>
    <w:rsid w:val="001E78EC"/>
    <w:rsid w:val="002F517E"/>
    <w:rsid w:val="003033DF"/>
    <w:rsid w:val="003C1E67"/>
    <w:rsid w:val="003F04F1"/>
    <w:rsid w:val="00430946"/>
    <w:rsid w:val="004B7A1A"/>
    <w:rsid w:val="005437D2"/>
    <w:rsid w:val="006D05CF"/>
    <w:rsid w:val="00972E33"/>
    <w:rsid w:val="009A011B"/>
    <w:rsid w:val="00A27488"/>
    <w:rsid w:val="00A34FFD"/>
    <w:rsid w:val="00B25009"/>
    <w:rsid w:val="00BC65C2"/>
    <w:rsid w:val="00CF185A"/>
    <w:rsid w:val="00D74329"/>
    <w:rsid w:val="00F53AA6"/>
    <w:rsid w:val="06640499"/>
    <w:rsid w:val="0B50723E"/>
    <w:rsid w:val="1122342A"/>
    <w:rsid w:val="11511F61"/>
    <w:rsid w:val="14B315E8"/>
    <w:rsid w:val="177076B7"/>
    <w:rsid w:val="17BE6083"/>
    <w:rsid w:val="184B1C69"/>
    <w:rsid w:val="1F90634B"/>
    <w:rsid w:val="2374667E"/>
    <w:rsid w:val="25897678"/>
    <w:rsid w:val="2D376D79"/>
    <w:rsid w:val="2EDF69A7"/>
    <w:rsid w:val="2FC75471"/>
    <w:rsid w:val="30032221"/>
    <w:rsid w:val="309C399E"/>
    <w:rsid w:val="3D3A1978"/>
    <w:rsid w:val="41DF78A5"/>
    <w:rsid w:val="4BF3417D"/>
    <w:rsid w:val="4C1E4FF4"/>
    <w:rsid w:val="4E1753BE"/>
    <w:rsid w:val="50F02E40"/>
    <w:rsid w:val="5B1E5FDD"/>
    <w:rsid w:val="5F6917F1"/>
    <w:rsid w:val="620F6680"/>
    <w:rsid w:val="71017A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352</Words>
  <Characters>2007</Characters>
  <Lines>16</Lines>
  <Paragraphs>4</Paragraphs>
  <TotalTime>8</TotalTime>
  <ScaleCrop>false</ScaleCrop>
  <LinksUpToDate>false</LinksUpToDate>
  <CharactersWithSpaces>2355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2023-11-14T03:07:00Z</dcterms:created>
  <dc:creator>袁景</dc:creator>
  <cp:lastModifiedBy>王鑫</cp:lastModifiedBy>
  <dcterms:modified xsi:type="dcterms:W3CDTF">2023-11-14T03:50:28Z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4A7C352F465C430891C25129470AC499_13</vt:lpwstr>
  </property>
</Properties>
</file>