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281" w:firstLineChars="100"/>
        <w:jc w:val="center"/>
        <w:rPr>
          <w:rFonts w:ascii="宋体" w:hAnsi="宋体" w:cs="宋体"/>
          <w:b/>
          <w:bCs/>
          <w:sz w:val="24"/>
          <w:highlight w:val="none"/>
          <w:lang w:val="zh-CN"/>
        </w:rPr>
      </w:pPr>
      <w:r>
        <w:rPr>
          <w:rFonts w:hint="eastAsia" w:ascii="仿宋" w:hAnsi="仿宋" w:eastAsia="仿宋" w:cs="仿宋"/>
          <w:b/>
          <w:bCs/>
          <w:sz w:val="28"/>
          <w:szCs w:val="28"/>
          <w:highlight w:val="none"/>
          <w:lang w:val="en-US" w:eastAsia="zh-CN"/>
        </w:rPr>
        <w:t>药品快递服务</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需求</w:t>
      </w:r>
    </w:p>
    <w:p>
      <w:pPr>
        <w:rPr>
          <w:rFonts w:ascii="宋体" w:hAnsi="宋体" w:cs="宋体"/>
          <w:b/>
          <w:bCs/>
          <w:sz w:val="24"/>
          <w:highlight w:val="none"/>
          <w:lang w:val="zh-CN"/>
        </w:rPr>
      </w:pPr>
    </w:p>
    <w:p>
      <w:pPr>
        <w:pStyle w:val="8"/>
        <w:rPr>
          <w:rFonts w:ascii="宋体" w:hAnsi="宋体" w:eastAsia="宋体" w:cs="宋体"/>
          <w:b/>
          <w:kern w:val="2"/>
          <w:highlight w:val="none"/>
        </w:rPr>
      </w:pPr>
      <w:r>
        <w:rPr>
          <w:rFonts w:hint="eastAsia" w:ascii="宋体" w:hAnsi="宋体" w:eastAsia="宋体" w:cs="宋体"/>
          <w:b/>
          <w:kern w:val="2"/>
          <w:highlight w:val="none"/>
        </w:rPr>
        <w:t>一、项目要求</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1、时效性</w:t>
      </w:r>
    </w:p>
    <w:p>
      <w:pPr>
        <w:pStyle w:val="9"/>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1.1发往全国各地的快件：广东省内件24小时内到达</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其中广州市区当天上午12:00前寄当天22:00前到达，上午12:00后寄次日12:00前到达</w:t>
      </w:r>
      <w:r>
        <w:rPr>
          <w:rFonts w:hint="eastAsia" w:ascii="宋体" w:hAnsi="宋体" w:cs="宋体"/>
          <w:kern w:val="2"/>
          <w:sz w:val="24"/>
          <w:szCs w:val="24"/>
          <w:highlight w:val="none"/>
        </w:rPr>
        <w:t>；省外件48小时内到达（偏远地区在以上派送时间基础上加半天或一天）；港澳周一至周五次日到，台湾地区最迟五天内到达。</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1.2每天至少寄出2次，上午和下午分别1次，当天所有快件全部寄出。</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1.3特殊紧急件可以走快速通道，具体要求如下：</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（1）广州市内地区：当天上午寄出下午6点前到；</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（2）广东省内地区：当天下午寄出明天中午12点前到。</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1.4</w:t>
      </w:r>
      <w:bookmarkStart w:id="0" w:name="_Hlk130972294"/>
      <w:r>
        <w:rPr>
          <w:rFonts w:hint="eastAsia" w:ascii="宋体" w:hAnsi="宋体" w:cs="宋体"/>
          <w:kern w:val="2"/>
          <w:sz w:val="24"/>
          <w:szCs w:val="24"/>
          <w:highlight w:val="none"/>
        </w:rPr>
        <w:t>为保证快件不受运力、运输等主观因素影响，</w:t>
      </w:r>
      <w:r>
        <w:rPr>
          <w:rFonts w:hint="eastAsia" w:ascii="宋体" w:hAnsi="宋体" w:cs="宋体"/>
          <w:b/>
          <w:kern w:val="2"/>
          <w:sz w:val="24"/>
          <w:szCs w:val="24"/>
          <w:highlight w:val="none"/>
        </w:rPr>
        <w:t>必须配有自营货运汽车等完善运输线路及具有与航空、铁路部门签订物流运输合作协议</w:t>
      </w:r>
      <w:r>
        <w:rPr>
          <w:rFonts w:hint="eastAsia" w:ascii="宋体" w:hAnsi="宋体" w:cs="宋体"/>
          <w:kern w:val="2"/>
          <w:sz w:val="24"/>
          <w:szCs w:val="24"/>
          <w:highlight w:val="none"/>
        </w:rPr>
        <w:t>。（需提供飞机清单及飞机编号证明文件或其他合法证明文件复印件，提供冷藏车辆清单及车辆行驶证复印件）</w:t>
      </w:r>
    </w:p>
    <w:p>
      <w:pPr>
        <w:pStyle w:val="11"/>
        <w:ind w:left="142" w:firstLine="424" w:firstLineChars="177"/>
        <w:rPr>
          <w:highlight w:val="none"/>
        </w:rPr>
      </w:pPr>
      <w:r>
        <w:rPr>
          <w:rFonts w:hint="eastAsia"/>
          <w:highlight w:val="none"/>
        </w:rPr>
        <w:t>如所提供材料为其控股母公司或控股子公司的，应出具两者间的控股关系证明材料，并加盖双方公章。</w:t>
      </w:r>
    </w:p>
    <w:bookmarkEnd w:id="0"/>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1.5承诺</w:t>
      </w:r>
      <w:r>
        <w:rPr>
          <w:rFonts w:hint="eastAsia" w:ascii="宋体" w:hAnsi="宋体" w:cs="宋体"/>
          <w:kern w:val="2"/>
          <w:sz w:val="24"/>
          <w:szCs w:val="24"/>
          <w:highlight w:val="none"/>
          <w:lang w:eastAsia="zh-CN"/>
        </w:rPr>
        <w:t>一年</w:t>
      </w:r>
      <w:r>
        <w:rPr>
          <w:rFonts w:hint="eastAsia" w:ascii="宋体" w:hAnsi="宋体" w:cs="宋体"/>
          <w:kern w:val="2"/>
          <w:sz w:val="24"/>
          <w:szCs w:val="24"/>
          <w:highlight w:val="none"/>
        </w:rPr>
        <w:t>365天，不分节假日提供服务。</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2、安全性</w:t>
      </w:r>
    </w:p>
    <w:p>
      <w:pPr>
        <w:pStyle w:val="10"/>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成交供应商应建立完备的安全保障机制，确保寄递安全和用户信息安全。</w:t>
      </w:r>
    </w:p>
    <w:p>
      <w:pPr>
        <w:pStyle w:val="10"/>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3、</w:t>
      </w:r>
      <w:r>
        <w:rPr>
          <w:rFonts w:hint="eastAsia" w:ascii="宋体" w:hAnsi="宋体" w:cs="宋体"/>
          <w:b/>
          <w:kern w:val="2"/>
          <w:sz w:val="24"/>
          <w:szCs w:val="24"/>
          <w:highlight w:val="none"/>
        </w:rPr>
        <w:t>方便性</w:t>
      </w:r>
    </w:p>
    <w:p>
      <w:pPr>
        <w:pStyle w:val="10"/>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成交供应商在设置服务场所、安排营业时间等方面，以及在收寄、投递、查询、投诉处理等环节，应根据委托方需求，以便为用户服务。</w:t>
      </w:r>
    </w:p>
    <w:p>
      <w:pPr>
        <w:pStyle w:val="10"/>
        <w:spacing w:line="360" w:lineRule="auto"/>
        <w:ind w:firstLine="482" w:firstLineChars="200"/>
        <w:rPr>
          <w:rFonts w:ascii="宋体" w:hAnsi="宋体" w:cs="宋体"/>
          <w:b/>
          <w:kern w:val="2"/>
          <w:sz w:val="24"/>
          <w:szCs w:val="24"/>
          <w:highlight w:val="none"/>
        </w:rPr>
      </w:pPr>
      <w:r>
        <w:rPr>
          <w:rFonts w:hint="eastAsia" w:ascii="宋体" w:hAnsi="宋体" w:cs="宋体"/>
          <w:b/>
          <w:kern w:val="2"/>
          <w:sz w:val="24"/>
          <w:szCs w:val="24"/>
          <w:highlight w:val="none"/>
        </w:rPr>
        <w:t>4、操作规范性</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4.1保护性包装纸质文件、资料，使其到达收件人手中无破损无明显折痕；</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4.2快件称重准确到小数点后一位。</w:t>
      </w:r>
    </w:p>
    <w:p>
      <w:pPr>
        <w:pStyle w:val="9"/>
        <w:spacing w:line="360" w:lineRule="auto"/>
        <w:ind w:firstLine="482"/>
        <w:rPr>
          <w:rFonts w:ascii="宋体" w:hAnsi="宋体" w:cs="宋体"/>
          <w:b/>
          <w:kern w:val="2"/>
          <w:sz w:val="24"/>
          <w:szCs w:val="24"/>
          <w:highlight w:val="none"/>
        </w:rPr>
      </w:pPr>
      <w:r>
        <w:rPr>
          <w:rFonts w:hint="eastAsia" w:ascii="宋体" w:hAnsi="宋体" w:cs="宋体"/>
          <w:b/>
          <w:bCs/>
          <w:kern w:val="2"/>
          <w:sz w:val="24"/>
          <w:szCs w:val="24"/>
          <w:highlight w:val="none"/>
        </w:rPr>
        <w:t>5、人员管理</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5.1根据实际工作需要每</w:t>
      </w:r>
      <w:bookmarkStart w:id="2" w:name="_GoBack"/>
      <w:bookmarkEnd w:id="2"/>
      <w:r>
        <w:rPr>
          <w:rFonts w:hint="eastAsia" w:ascii="宋体" w:hAnsi="宋体" w:cs="宋体"/>
          <w:kern w:val="2"/>
          <w:sz w:val="24"/>
          <w:szCs w:val="24"/>
          <w:highlight w:val="none"/>
        </w:rPr>
        <w:t>天派出收、派点人员应保持不少于1人，不使用试工、实习工和兼职工，当件数较多时要增加相应人员。</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5.2负责核对寄件快件上寄送信息。</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5.3服装要求：负责收寄的快件服务人员应统一穿着具有组织标识的服装，并佩戴工号牌或胸卡。</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5.4本项目建立专业的项目管理团队，不少于2名有医药相关专业的管理人员（中级以上含中级或执业药师）。</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b/>
          <w:kern w:val="2"/>
          <w:sz w:val="24"/>
          <w:szCs w:val="24"/>
          <w:highlight w:val="none"/>
        </w:rPr>
        <w:t>冷链管理</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6.1提供一定数量的符合规定且经过验证的冷链设备（需提供冷链设备购置证明复印），并提供相应设备预处理及货物包装服务，协助运输有温度要求的货品。</w:t>
      </w:r>
    </w:p>
    <w:p>
      <w:pPr>
        <w:pStyle w:val="9"/>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6.2在运输途中应定时监控温度，发现异常情况须及时通知甲方并采取措施防止损失发生，保证运输货物的安全，并可提供全过程温度数据。</w:t>
      </w:r>
    </w:p>
    <w:p>
      <w:pPr>
        <w:pStyle w:val="9"/>
        <w:spacing w:line="360" w:lineRule="auto"/>
        <w:ind w:firstLine="480"/>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6.3必须配有自营冷藏车和相应的温控箱设备。（需提供冷藏车辆清单及车辆行驶证复印件，温控箱购置证明复印件）</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7、信息上传及查询</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7.1快件收寄后，成交供应商应及时录入收寄信息并按规定上传网络。</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7.2成交供应商应根据业务种类向顾客提供电话或互联网等免费查询渠道或其他可进行电脑、手机等终端操作的系统对接设备，用户可凭借快件运单号码进行全程跟踪查询，可查询到快件当前所处服务环节及所在位置。</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7.3快件的互联网查询时间应为一周7天，每天24h；快件电话人工查询受理时间应为一周7天，每天应不少于8h。对于用户电话查询的快件，成交供应商应在30min内告知用户。</w:t>
      </w:r>
    </w:p>
    <w:p>
      <w:pPr>
        <w:pStyle w:val="9"/>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7.4国内快件查询有效期应不少于1年。</w:t>
      </w:r>
    </w:p>
    <w:p>
      <w:pPr>
        <w:pStyle w:val="11"/>
        <w:rPr>
          <w:rFonts w:hint="default" w:eastAsia="宋体"/>
          <w:highlight w:val="none"/>
          <w:lang w:val="en-US" w:eastAsia="zh-CN"/>
        </w:rPr>
      </w:pPr>
      <w:r>
        <w:rPr>
          <w:rFonts w:hint="eastAsia" w:cs="宋体"/>
          <w:kern w:val="2"/>
          <w:sz w:val="24"/>
          <w:szCs w:val="24"/>
          <w:highlight w:val="none"/>
          <w:lang w:val="en-US" w:eastAsia="zh-CN"/>
        </w:rPr>
        <w:t>7.5提供快递服务信息的API接口，以便医院相关程序关联查询和调用。</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8、无法投递快件</w:t>
      </w:r>
    </w:p>
    <w:p>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成交供应商应在投递前联系收件人，当出现快件无法投递情况时，应采取以下措施：</w:t>
      </w:r>
    </w:p>
    <w:p>
      <w:pPr>
        <w:pStyle w:val="9"/>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首次无法投递时，应主动联系收件人，通知复投的时间及联系方法，若未联系到收件人，可在收件地点留下派送通知单，将复投的时间及联系方法等相关信息告知收件人；</w:t>
      </w:r>
    </w:p>
    <w:p>
      <w:pPr>
        <w:pStyle w:val="9"/>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复投仍无法投递，可通知收件人采用自取的方式，并告知收件人自取的地点和工作时间。收件人仍需要投递的，成交供应商可提供相关服务，但应事先告知收件人收费标准和服务费用；</w:t>
      </w:r>
    </w:p>
    <w:p>
      <w:pPr>
        <w:pStyle w:val="9"/>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若联系不到收件人，或收件人拒收快件，成交供应商应在彻底延误时限到达之前电话通知寄件人，协商处理办法。</w:t>
      </w:r>
    </w:p>
    <w:p>
      <w:pPr>
        <w:pStyle w:val="9"/>
        <w:numPr>
          <w:ilvl w:val="0"/>
          <w:numId w:val="2"/>
        </w:numPr>
        <w:spacing w:line="360" w:lineRule="auto"/>
        <w:ind w:firstLineChars="0"/>
        <w:rPr>
          <w:rFonts w:ascii="宋体" w:hAnsi="宋体" w:cs="宋体"/>
          <w:b/>
          <w:kern w:val="2"/>
          <w:sz w:val="24"/>
          <w:szCs w:val="24"/>
          <w:highlight w:val="none"/>
        </w:rPr>
      </w:pPr>
      <w:r>
        <w:rPr>
          <w:rFonts w:hint="eastAsia" w:ascii="宋体" w:hAnsi="宋体" w:cs="宋体"/>
          <w:b/>
          <w:kern w:val="2"/>
          <w:sz w:val="24"/>
          <w:szCs w:val="24"/>
          <w:highlight w:val="none"/>
        </w:rPr>
        <w:t>档案的保存期限</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9.1国内快件运单的实物保存期限，应满足快件纠纷及赔偿处理的需要，宜不少于1年，相应的电子档案保存期限不应少于2年。</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9.2国际快件、港澳台快件运单的实物保存期限不应少于6个月。其他档案的保存期限应满足相关法律法规要求。</w:t>
      </w:r>
    </w:p>
    <w:p>
      <w:pPr>
        <w:pStyle w:val="9"/>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10、投诉与申诉</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10.1成交供应商收到采购人投诉时，应对投诉信息进行分析，提出处理方案，制定补救措施，按服务承诺及时处理。</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10.2投诉处理完毕，成交供应商应在处理时限内及时将处理结果告知采购人。</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10.3若采购人对处理结果不满意，成交供应商应告知其他可用的处理方式。</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10.4成交供应商应根据投诉信息统计分析结果，采取措施改进服务质量。</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10.5采购人向成交供应商投诉后30个日历天未作出答复的，或对成交供应商处理和答复不满意的，可向邮政管理部门提出申诉。</w:t>
      </w:r>
    </w:p>
    <w:p>
      <w:pPr>
        <w:pStyle w:val="9"/>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11、赔偿</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11.1在寄递过程中，发生延误、丢失、毁损、浸泡、内件不符时，成交供应商应按实际价值予以赔偿，并在投标方案中注明赔付方式；</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11.2采购人发现成交供应商恶意骗取邮寄费时，有权要求成交供应商赔偿、作出书面说明及承诺，有权要求更换服务人员，有权单方面解除与成交供应商的合作合同。</w:t>
      </w:r>
    </w:p>
    <w:p>
      <w:pPr>
        <w:pStyle w:val="9"/>
        <w:spacing w:line="360" w:lineRule="auto"/>
        <w:ind w:left="482" w:firstLine="0" w:firstLineChars="0"/>
        <w:rPr>
          <w:rFonts w:ascii="宋体" w:hAnsi="宋体" w:cs="宋体"/>
          <w:b/>
          <w:kern w:val="2"/>
          <w:sz w:val="24"/>
          <w:szCs w:val="24"/>
          <w:highlight w:val="none"/>
        </w:rPr>
      </w:pPr>
      <w:r>
        <w:rPr>
          <w:rFonts w:hint="eastAsia" w:ascii="宋体" w:hAnsi="宋体" w:cs="宋体"/>
          <w:b/>
          <w:bCs/>
          <w:kern w:val="2"/>
          <w:sz w:val="24"/>
          <w:szCs w:val="24"/>
          <w:highlight w:val="none"/>
        </w:rPr>
        <w:t>12、发票寄送快件服务质量要求</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12.1成交供应商要安排业务素质高、工作责任心强的业务员来从事发票的寄送工作。</w:t>
      </w:r>
    </w:p>
    <w:p>
      <w:pPr>
        <w:pStyle w:val="9"/>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12.2收件人员应做好发票签收。</w:t>
      </w:r>
    </w:p>
    <w:p>
      <w:pPr>
        <w:pStyle w:val="9"/>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12.3需与客户验收发票，签收单上务必保证由收件人本人签收或者盖章确认。</w:t>
      </w:r>
    </w:p>
    <w:p>
      <w:pPr>
        <w:pStyle w:val="9"/>
        <w:spacing w:line="360" w:lineRule="auto"/>
        <w:ind w:firstLineChars="0"/>
        <w:rPr>
          <w:rFonts w:ascii="宋体" w:hAnsi="宋体" w:cs="宋体"/>
          <w:b/>
          <w:kern w:val="2"/>
          <w:sz w:val="24"/>
          <w:szCs w:val="24"/>
          <w:highlight w:val="none"/>
        </w:rPr>
      </w:pPr>
      <w:r>
        <w:rPr>
          <w:rFonts w:hint="eastAsia" w:ascii="宋体" w:hAnsi="宋体" w:cs="宋体"/>
          <w:kern w:val="2"/>
          <w:sz w:val="24"/>
          <w:szCs w:val="24"/>
          <w:highlight w:val="none"/>
        </w:rPr>
        <w:t>12.4客户发票签收单必须按月整理扫描，并于每月初将上个月的签收单交回</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专人留存。如果月初未能交回签收单，承运方必须书面说明原因。</w:t>
      </w:r>
    </w:p>
    <w:p>
      <w:pPr>
        <w:pStyle w:val="9"/>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12.5投标方案须包括发票寄送错误、延期、损坏、丢失等的赔付方式。</w:t>
      </w:r>
    </w:p>
    <w:p>
      <w:pPr>
        <w:pStyle w:val="9"/>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12.6设立专门对口的服务监督热线，对其寄送发票的情况进行监督，设立一名对口的主管或者经理，以便能就发票寄送过程中出现的问题更方便直接地进行沟通。</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13、质量要求</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13.1配送药品、器械的人员必须经过相关操作培训。</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13.2配送药品、器械的车辆必须采用密闭厢式运输车辆运输，并能在实时运输过程中监控温度。</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13.3运输冷藏品的保温箱和冷藏车必须经过温度验证合格，用于监控温度的温度计必须经过法定计量单位校准合格后方能使用。</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13.5如配送过程中出现异常或偏差的，必须第一时间上报</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13.6每年需接受</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EHSQ部的质量审计。</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13.7如公司出现重大变更的，需书面邮件通过</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pPr>
        <w:pStyle w:val="8"/>
        <w:spacing w:line="360" w:lineRule="auto"/>
        <w:ind w:firstLine="480" w:firstLineChars="200"/>
        <w:rPr>
          <w:rFonts w:ascii="宋体" w:hAnsi="宋体" w:eastAsia="宋体" w:cs="宋体"/>
          <w:kern w:val="2"/>
          <w:highlight w:val="none"/>
        </w:rPr>
      </w:pPr>
      <w:r>
        <w:rPr>
          <w:rFonts w:hint="eastAsia" w:ascii="宋体" w:hAnsi="宋体" w:eastAsia="宋体" w:cs="宋体"/>
          <w:kern w:val="2"/>
          <w:highlight w:val="none"/>
        </w:rPr>
        <w:t>14、仓库要求</w:t>
      </w:r>
    </w:p>
    <w:p>
      <w:pPr>
        <w:pStyle w:val="8"/>
        <w:spacing w:line="360" w:lineRule="auto"/>
        <w:ind w:left="372" w:leftChars="177" w:firstLine="426"/>
        <w:rPr>
          <w:rFonts w:ascii="宋体" w:hAnsi="宋体" w:eastAsia="宋体" w:cs="宋体"/>
          <w:kern w:val="2"/>
          <w:highlight w:val="none"/>
        </w:rPr>
      </w:pPr>
      <w:r>
        <w:rPr>
          <w:rFonts w:hint="eastAsia" w:ascii="宋体" w:hAnsi="宋体" w:eastAsia="宋体" w:cs="宋体"/>
          <w:kern w:val="2"/>
          <w:highlight w:val="none"/>
        </w:rPr>
        <w:t>广州经营场所具有不少于3000平方的仓库有装卸区、中转区、存储区具有防尘、降温隔热、避光、防雨、防虫防鼠等措施。非自有产权需提供租赁合同和相关产权证明、平面图、百度地图定位、场所照片等。</w:t>
      </w:r>
    </w:p>
    <w:p>
      <w:pPr>
        <w:pStyle w:val="11"/>
        <w:spacing w:line="360" w:lineRule="auto"/>
        <w:ind w:firstLine="482"/>
        <w:rPr>
          <w:b/>
          <w:highlight w:val="none"/>
        </w:rPr>
      </w:pPr>
      <w:r>
        <w:rPr>
          <w:rFonts w:hint="eastAsia"/>
          <w:b/>
          <w:highlight w:val="none"/>
        </w:rPr>
        <w:t>15、异常处理要求</w:t>
      </w:r>
    </w:p>
    <w:p>
      <w:pPr>
        <w:pStyle w:val="11"/>
        <w:spacing w:line="360" w:lineRule="auto"/>
        <w:ind w:firstLine="480"/>
        <w:rPr>
          <w:highlight w:val="none"/>
        </w:rPr>
      </w:pPr>
      <w:bookmarkStart w:id="1" w:name="_Hlk130973353"/>
      <w:r>
        <w:rPr>
          <w:rFonts w:hint="eastAsia"/>
          <w:highlight w:val="none"/>
        </w:rPr>
        <w:t>投标人</w:t>
      </w:r>
      <w:bookmarkEnd w:id="1"/>
      <w:r>
        <w:rPr>
          <w:rFonts w:hint="eastAsia"/>
          <w:highlight w:val="none"/>
        </w:rPr>
        <w:t>具备跨区域异常处理问题的能力与资源，并同时快速响应。能根据异常问题属性建立不同的线上或线下处理机制，处理反应迅捷；货品破损赔付承诺处理方式，应建立全程专人对接，赔付简便快捷。</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16、其他要求</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 xml:space="preserve">成交供应商应免费提供快件运单、信封、胶袋、各种规格纸箱、编织袋等用于邮寄信件或物品。 </w:t>
      </w:r>
    </w:p>
    <w:p>
      <w:pPr>
        <w:pStyle w:val="9"/>
        <w:spacing w:line="360" w:lineRule="auto"/>
        <w:ind w:firstLine="482"/>
        <w:rPr>
          <w:rFonts w:ascii="宋体" w:hAnsi="宋体" w:cs="宋体"/>
          <w:kern w:val="2"/>
          <w:sz w:val="24"/>
          <w:szCs w:val="24"/>
          <w:highlight w:val="none"/>
        </w:rPr>
      </w:pPr>
      <w:r>
        <w:rPr>
          <w:rFonts w:hint="eastAsia" w:ascii="宋体" w:hAnsi="宋体" w:cs="宋体"/>
          <w:b/>
          <w:kern w:val="2"/>
          <w:sz w:val="24"/>
          <w:szCs w:val="24"/>
          <w:highlight w:val="none"/>
        </w:rPr>
        <w:t>17、其他未尽事宜</w:t>
      </w:r>
    </w:p>
    <w:p>
      <w:pPr>
        <w:pStyle w:val="8"/>
        <w:ind w:firstLine="480" w:firstLineChars="200"/>
        <w:rPr>
          <w:rFonts w:ascii="宋体" w:hAnsi="宋体" w:eastAsia="宋体" w:cs="宋体"/>
          <w:kern w:val="2"/>
          <w:highlight w:val="none"/>
        </w:rPr>
      </w:pPr>
      <w:r>
        <w:rPr>
          <w:rFonts w:hint="eastAsia" w:ascii="宋体" w:hAnsi="宋体" w:eastAsia="宋体" w:cs="宋体"/>
          <w:kern w:val="2"/>
          <w:highlight w:val="none"/>
        </w:rPr>
        <w:t>成交供应商应遵循《快件服务》国家标准，分别是GB/T 27917.1-2011《快件服务 第1部分：基本术语》、GB/T 27917.2-2011《快件服务 第2部分：组织要求》和GB/T 27917.3-2011《快件服务 第3部分：服务环节》。</w:t>
      </w:r>
    </w:p>
    <w:p>
      <w:pPr>
        <w:rPr>
          <w:rFonts w:ascii="宋体" w:hAnsi="宋体" w:eastAsia="宋体" w:cs="宋体"/>
          <w:kern w:val="2"/>
          <w:highlight w:val="none"/>
        </w:rPr>
      </w:pPr>
      <w:r>
        <w:rPr>
          <w:rFonts w:ascii="宋体" w:hAnsi="宋体" w:eastAsia="宋体" w:cs="宋体"/>
          <w:kern w:val="2"/>
          <w:highlight w:val="none"/>
        </w:rPr>
        <w:br w:type="page"/>
      </w:r>
    </w:p>
    <w:p>
      <w:pPr>
        <w:widowControl/>
        <w:jc w:val="left"/>
        <w:rPr>
          <w:rFonts w:ascii="宋体" w:hAnsi="宋体" w:cs="宋体"/>
          <w:sz w:val="24"/>
          <w:highlight w:val="none"/>
        </w:rPr>
      </w:pPr>
      <w:r>
        <w:rPr>
          <w:rFonts w:hint="eastAsia"/>
          <w:b/>
          <w:sz w:val="30"/>
          <w:szCs w:val="30"/>
          <w:highlight w:val="none"/>
        </w:rPr>
        <w:t>报价表</w:t>
      </w:r>
    </w:p>
    <w:p>
      <w:pPr>
        <w:pStyle w:val="14"/>
        <w:numPr>
          <w:ilvl w:val="0"/>
          <w:numId w:val="3"/>
        </w:numPr>
        <w:ind w:firstLineChars="0"/>
        <w:rPr>
          <w:highlight w:val="none"/>
        </w:rPr>
      </w:pPr>
      <w:r>
        <w:rPr>
          <w:rFonts w:hint="eastAsia"/>
          <w:highlight w:val="none"/>
        </w:rPr>
        <w:t>普通件配送表</w:t>
      </w:r>
    </w:p>
    <w:tbl>
      <w:tblPr>
        <w:tblStyle w:val="4"/>
        <w:tblW w:w="8620" w:type="dxa"/>
        <w:tblInd w:w="93" w:type="dxa"/>
        <w:tblLayout w:type="autofit"/>
        <w:tblCellMar>
          <w:top w:w="0" w:type="dxa"/>
          <w:left w:w="108" w:type="dxa"/>
          <w:bottom w:w="0" w:type="dxa"/>
          <w:right w:w="108" w:type="dxa"/>
        </w:tblCellMar>
      </w:tblPr>
      <w:tblGrid>
        <w:gridCol w:w="760"/>
        <w:gridCol w:w="1160"/>
        <w:gridCol w:w="660"/>
        <w:gridCol w:w="720"/>
        <w:gridCol w:w="900"/>
        <w:gridCol w:w="900"/>
        <w:gridCol w:w="820"/>
        <w:gridCol w:w="900"/>
        <w:gridCol w:w="900"/>
        <w:gridCol w:w="900"/>
      </w:tblGrid>
      <w:tr>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出发地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目的地</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5140" w:type="dxa"/>
            <w:gridSpan w:val="6"/>
            <w:tcBorders>
              <w:top w:val="single" w:color="auto" w:sz="4" w:space="0"/>
              <w:left w:val="nil"/>
              <w:bottom w:val="single" w:color="auto" w:sz="4" w:space="0"/>
              <w:right w:val="single" w:color="000000" w:sz="4" w:space="0"/>
            </w:tcBorders>
            <w:shd w:val="clear" w:color="auto" w:fill="auto"/>
            <w:noWrap/>
            <w:vAlign w:val="center"/>
          </w:tcPr>
          <w:p>
            <w:pPr>
              <w:pStyle w:val="13"/>
              <w:jc w:val="center"/>
              <w:rPr>
                <w:kern w:val="2"/>
                <w:highlight w:val="none"/>
              </w:rPr>
            </w:pPr>
            <w:r>
              <w:rPr>
                <w:rFonts w:hint="eastAsia"/>
                <w:kern w:val="2"/>
                <w:highlight w:val="none"/>
              </w:rPr>
              <w:t>普通件</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小计</w:t>
            </w:r>
          </w:p>
        </w:tc>
      </w:tr>
      <w:tr>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2520" w:type="dxa"/>
            <w:gridSpan w:val="3"/>
            <w:tcBorders>
              <w:top w:val="single" w:color="auto" w:sz="4" w:space="0"/>
              <w:left w:val="nil"/>
              <w:bottom w:val="single" w:color="auto" w:sz="4" w:space="0"/>
              <w:right w:val="single" w:color="000000" w:sz="4" w:space="0"/>
            </w:tcBorders>
            <w:shd w:val="clear" w:color="auto" w:fill="auto"/>
            <w:noWrap/>
            <w:vAlign w:val="center"/>
          </w:tcPr>
          <w:p>
            <w:pPr>
              <w:pStyle w:val="13"/>
              <w:jc w:val="center"/>
              <w:rPr>
                <w:kern w:val="2"/>
                <w:highlight w:val="none"/>
              </w:rPr>
            </w:pPr>
            <w:r>
              <w:rPr>
                <w:rFonts w:hint="eastAsia"/>
                <w:kern w:val="2"/>
                <w:highlight w:val="none"/>
              </w:rPr>
              <w:t>首重</w:t>
            </w:r>
          </w:p>
        </w:tc>
        <w:tc>
          <w:tcPr>
            <w:tcW w:w="2620" w:type="dxa"/>
            <w:gridSpan w:val="3"/>
            <w:tcBorders>
              <w:top w:val="single" w:color="auto" w:sz="4" w:space="0"/>
              <w:left w:val="nil"/>
              <w:bottom w:val="single" w:color="auto" w:sz="4" w:space="0"/>
              <w:right w:val="single" w:color="000000" w:sz="4" w:space="0"/>
            </w:tcBorders>
            <w:shd w:val="clear" w:color="auto" w:fill="auto"/>
            <w:noWrap/>
            <w:vAlign w:val="center"/>
          </w:tcPr>
          <w:p>
            <w:pPr>
              <w:pStyle w:val="13"/>
              <w:jc w:val="center"/>
              <w:rPr>
                <w:kern w:val="2"/>
                <w:highlight w:val="none"/>
              </w:rPr>
            </w:pPr>
            <w:r>
              <w:rPr>
                <w:rFonts w:hint="eastAsia"/>
                <w:kern w:val="2"/>
                <w:highlight w:val="none"/>
              </w:rPr>
              <w:t>续重</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r>
      <w:tr>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72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82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省内同城</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省内非同城</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福建</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广西</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海南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湖南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江西</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安徽</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贵州</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河南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江苏</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上海</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四川</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云南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60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浙江</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重庆</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北京</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32</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河北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辽宁</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山东</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天津</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湖北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山西</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陕西</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甘肃</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内蒙古</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宁夏</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青海</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黑龙江</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吉林</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西藏</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148</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新疆</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81</w:t>
            </w:r>
          </w:p>
        </w:tc>
        <w:tc>
          <w:tcPr>
            <w:tcW w:w="7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19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合计</w:t>
            </w:r>
          </w:p>
        </w:tc>
        <w:tc>
          <w:tcPr>
            <w:tcW w:w="660"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　</w:t>
            </w:r>
          </w:p>
        </w:tc>
        <w:tc>
          <w:tcPr>
            <w:tcW w:w="72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82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bl>
    <w:p>
      <w:pPr>
        <w:pStyle w:val="13"/>
        <w:rPr>
          <w:kern w:val="2"/>
          <w:sz w:val="21"/>
          <w:szCs w:val="22"/>
          <w:highlight w:val="none"/>
        </w:rPr>
      </w:pPr>
    </w:p>
    <w:p>
      <w:pPr>
        <w:pStyle w:val="13"/>
        <w:rPr>
          <w:kern w:val="2"/>
          <w:sz w:val="21"/>
          <w:szCs w:val="22"/>
          <w:highlight w:val="none"/>
        </w:rPr>
      </w:pPr>
      <w:r>
        <w:rPr>
          <w:rFonts w:hint="eastAsia"/>
          <w:kern w:val="2"/>
          <w:sz w:val="21"/>
          <w:szCs w:val="22"/>
          <w:highlight w:val="none"/>
        </w:rPr>
        <w:t>2、冷链件配送报价表</w:t>
      </w:r>
    </w:p>
    <w:tbl>
      <w:tblPr>
        <w:tblStyle w:val="4"/>
        <w:tblW w:w="8570" w:type="dxa"/>
        <w:tblInd w:w="93" w:type="dxa"/>
        <w:tblLayout w:type="autofit"/>
        <w:tblCellMar>
          <w:top w:w="0" w:type="dxa"/>
          <w:left w:w="108" w:type="dxa"/>
          <w:bottom w:w="0" w:type="dxa"/>
          <w:right w:w="108" w:type="dxa"/>
        </w:tblCellMar>
      </w:tblPr>
      <w:tblGrid>
        <w:gridCol w:w="760"/>
        <w:gridCol w:w="1240"/>
        <w:gridCol w:w="992"/>
        <w:gridCol w:w="640"/>
        <w:gridCol w:w="900"/>
        <w:gridCol w:w="880"/>
        <w:gridCol w:w="660"/>
        <w:gridCol w:w="800"/>
        <w:gridCol w:w="798"/>
        <w:gridCol w:w="900"/>
      </w:tblGrid>
      <w:tr>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出发地</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目的地</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4678" w:type="dxa"/>
            <w:gridSpan w:val="6"/>
            <w:tcBorders>
              <w:top w:val="single" w:color="auto" w:sz="4" w:space="0"/>
              <w:left w:val="nil"/>
              <w:bottom w:val="single" w:color="auto" w:sz="4" w:space="0"/>
              <w:right w:val="single" w:color="000000" w:sz="4" w:space="0"/>
            </w:tcBorders>
            <w:shd w:val="clear" w:color="auto" w:fill="auto"/>
            <w:noWrap/>
            <w:vAlign w:val="center"/>
          </w:tcPr>
          <w:p>
            <w:pPr>
              <w:pStyle w:val="13"/>
              <w:jc w:val="center"/>
              <w:rPr>
                <w:kern w:val="2"/>
                <w:highlight w:val="none"/>
              </w:rPr>
            </w:pPr>
            <w:r>
              <w:rPr>
                <w:rFonts w:hint="eastAsia"/>
                <w:kern w:val="2"/>
                <w:highlight w:val="none"/>
              </w:rPr>
              <w:t>冷链件</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小计</w:t>
            </w:r>
          </w:p>
        </w:tc>
      </w:tr>
      <w:tr>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2420" w:type="dxa"/>
            <w:gridSpan w:val="3"/>
            <w:tcBorders>
              <w:top w:val="single" w:color="auto" w:sz="4" w:space="0"/>
              <w:left w:val="nil"/>
              <w:bottom w:val="single" w:color="auto" w:sz="4" w:space="0"/>
              <w:right w:val="single" w:color="000000" w:sz="4" w:space="0"/>
            </w:tcBorders>
            <w:shd w:val="clear" w:color="auto" w:fill="auto"/>
            <w:noWrap/>
            <w:vAlign w:val="center"/>
          </w:tcPr>
          <w:p>
            <w:pPr>
              <w:pStyle w:val="13"/>
              <w:jc w:val="center"/>
              <w:rPr>
                <w:kern w:val="2"/>
                <w:highlight w:val="none"/>
              </w:rPr>
            </w:pPr>
            <w:r>
              <w:rPr>
                <w:rFonts w:hint="eastAsia"/>
                <w:kern w:val="2"/>
                <w:highlight w:val="none"/>
              </w:rPr>
              <w:t>5L温控箱</w:t>
            </w:r>
          </w:p>
        </w:tc>
        <w:tc>
          <w:tcPr>
            <w:tcW w:w="2258" w:type="dxa"/>
            <w:gridSpan w:val="3"/>
            <w:tcBorders>
              <w:top w:val="single" w:color="auto" w:sz="4" w:space="0"/>
              <w:left w:val="nil"/>
              <w:bottom w:val="single" w:color="auto" w:sz="4" w:space="0"/>
              <w:right w:val="single" w:color="000000" w:sz="4" w:space="0"/>
            </w:tcBorders>
            <w:shd w:val="clear" w:color="auto" w:fill="auto"/>
            <w:noWrap/>
            <w:vAlign w:val="center"/>
          </w:tcPr>
          <w:p>
            <w:pPr>
              <w:pStyle w:val="13"/>
              <w:jc w:val="center"/>
              <w:rPr>
                <w:kern w:val="2"/>
                <w:highlight w:val="none"/>
              </w:rPr>
            </w:pPr>
            <w:r>
              <w:rPr>
                <w:rFonts w:hint="eastAsia"/>
                <w:kern w:val="2"/>
                <w:highlight w:val="none"/>
              </w:rPr>
              <w:t>12L温控箱</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r>
      <w:tr>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64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90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88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66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80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798"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24</w:t>
            </w:r>
          </w:p>
        </w:tc>
        <w:tc>
          <w:tcPr>
            <w:tcW w:w="640" w:type="dxa"/>
            <w:tcBorders>
              <w:top w:val="single" w:color="auto" w:sz="4" w:space="0"/>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single" w:color="auto" w:sz="4" w:space="0"/>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广东（除广州市以外）</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24</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福建</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广西</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海南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湖南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江西</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安徽</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贵州</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河南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江苏</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上海</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四川</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云南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浙江</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重庆</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北京</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河北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辽宁</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山东</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天津</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湖北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山西</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陕西</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甘肃</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内蒙古</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宁夏</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青海</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黑龙江</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吉林</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西藏</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pPr>
              <w:pStyle w:val="13"/>
              <w:rPr>
                <w:kern w:val="2"/>
                <w:highlight w:val="none"/>
              </w:rPr>
            </w:pPr>
            <w:r>
              <w:rPr>
                <w:rFonts w:hint="eastAsia"/>
                <w:kern w:val="2"/>
                <w:highlight w:val="none"/>
              </w:rPr>
              <w:t>新疆</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r>
        <w:tblPrEx>
          <w:tblCellMar>
            <w:top w:w="0" w:type="dxa"/>
            <w:left w:w="108" w:type="dxa"/>
            <w:bottom w:w="0" w:type="dxa"/>
            <w:right w:w="108" w:type="dxa"/>
          </w:tblCellMar>
        </w:tblPrEx>
        <w:trPr>
          <w:trHeight w:val="25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合计</w:t>
            </w:r>
          </w:p>
        </w:tc>
        <w:tc>
          <w:tcPr>
            <w:tcW w:w="992" w:type="dxa"/>
            <w:tcBorders>
              <w:top w:val="nil"/>
              <w:left w:val="nil"/>
              <w:bottom w:val="single" w:color="auto" w:sz="4" w:space="0"/>
              <w:right w:val="single" w:color="auto" w:sz="4" w:space="0"/>
            </w:tcBorders>
            <w:shd w:val="clear" w:color="auto" w:fill="auto"/>
            <w:noWrap/>
            <w:vAlign w:val="center"/>
          </w:tcPr>
          <w:p>
            <w:pPr>
              <w:pStyle w:val="13"/>
              <w:jc w:val="center"/>
              <w:rPr>
                <w:kern w:val="2"/>
                <w:highlight w:val="none"/>
              </w:rPr>
            </w:pPr>
            <w:r>
              <w:rPr>
                <w:rFonts w:hint="eastAsia"/>
                <w:kern w:val="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88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8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798"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pPr>
              <w:pStyle w:val="13"/>
              <w:rPr>
                <w:rFonts w:ascii="Arial Narrow" w:hAnsi="Arial Narrow"/>
                <w:kern w:val="2"/>
                <w:highlight w:val="none"/>
              </w:rPr>
            </w:pPr>
            <w:r>
              <w:rPr>
                <w:rFonts w:ascii="Arial Narrow" w:hAnsi="Arial Narrow"/>
                <w:kern w:val="2"/>
                <w:highlight w:val="none"/>
              </w:rPr>
              <w:t>　</w:t>
            </w:r>
          </w:p>
        </w:tc>
      </w:tr>
    </w:tbl>
    <w:p>
      <w:pPr>
        <w:pStyle w:val="13"/>
        <w:rPr>
          <w:kern w:val="2"/>
          <w:sz w:val="21"/>
          <w:szCs w:val="22"/>
          <w:highlight w:val="none"/>
        </w:rPr>
      </w:pPr>
    </w:p>
    <w:p>
      <w:pPr>
        <w:widowControl/>
        <w:jc w:val="left"/>
        <w:rPr>
          <w:rFonts w:ascii="宋体" w:hAnsi="宋体" w:cs="宋体"/>
          <w:b/>
          <w:bCs/>
          <w:sz w:val="24"/>
          <w:highlight w:val="none"/>
          <w:lang w:val="zh-CN"/>
        </w:rPr>
      </w:pPr>
    </w:p>
    <w:p>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楷体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9"/>
      <w:numFmt w:val="decimal"/>
      <w:lvlText w:val="%1、"/>
      <w:lvlJc w:val="left"/>
      <w:pPr>
        <w:ind w:left="872" w:hanging="39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7"/>
    <w:multiLevelType w:val="multilevel"/>
    <w:tmpl w:val="00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ODNkM2ZkMDUwMTQ1NDFmYzZiMDIxYjM4NDI5ZTQifQ=="/>
  </w:docVars>
  <w:rsids>
    <w:rsidRoot w:val="0056630D"/>
    <w:rsid w:val="00236805"/>
    <w:rsid w:val="0056630D"/>
    <w:rsid w:val="00742FF7"/>
    <w:rsid w:val="00C371BA"/>
    <w:rsid w:val="00C6064A"/>
    <w:rsid w:val="00DB0CAE"/>
    <w:rsid w:val="03804C64"/>
    <w:rsid w:val="09317E9F"/>
    <w:rsid w:val="2A7D1A7A"/>
    <w:rsid w:val="301776F1"/>
    <w:rsid w:val="3B48454E"/>
    <w:rsid w:val="3C3E10BB"/>
    <w:rsid w:val="3D322E8B"/>
    <w:rsid w:val="4ECD1DD8"/>
    <w:rsid w:val="55654431"/>
    <w:rsid w:val="65C634F9"/>
    <w:rsid w:val="678D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Normal_6"/>
    <w:qFormat/>
    <w:uiPriority w:val="0"/>
    <w:rPr>
      <w:rFonts w:ascii="Times New Roman" w:hAnsi="Times New Roman" w:eastAsia="Times New Roman" w:cs="Times New Roman"/>
      <w:kern w:val="0"/>
      <w:sz w:val="24"/>
      <w:szCs w:val="24"/>
      <w:lang w:val="en-US" w:eastAsia="zh-CN" w:bidi="ar-SA"/>
    </w:rPr>
  </w:style>
  <w:style w:type="paragraph" w:customStyle="1" w:styleId="9">
    <w:name w:val="_Style 10"/>
    <w:basedOn w:val="10"/>
    <w:next w:val="11"/>
    <w:qFormat/>
    <w:uiPriority w:val="34"/>
    <w:pPr>
      <w:ind w:firstLine="420" w:firstLineChars="200"/>
    </w:pPr>
  </w:style>
  <w:style w:type="paragraph" w:customStyle="1" w:styleId="10">
    <w:name w:val="正文_0_0"/>
    <w:qFormat/>
    <w:uiPriority w:val="0"/>
    <w:pPr>
      <w:widowControl w:val="0"/>
      <w:jc w:val="both"/>
    </w:pPr>
    <w:rPr>
      <w:rFonts w:ascii="Calibri" w:hAnsi="Calibri" w:eastAsia="宋体" w:cs="Times New Roman"/>
      <w:kern w:val="0"/>
      <w:sz w:val="20"/>
      <w:szCs w:val="20"/>
      <w:lang w:val="en-US" w:eastAsia="zh-CN" w:bidi="ar-SA"/>
    </w:rPr>
  </w:style>
  <w:style w:type="paragraph" w:customStyle="1" w:styleId="11">
    <w:name w:val="List Paragraph_0"/>
    <w:basedOn w:val="8"/>
    <w:qFormat/>
    <w:uiPriority w:val="34"/>
    <w:pPr>
      <w:ind w:firstLine="420" w:firstLineChars="200"/>
    </w:pPr>
    <w:rPr>
      <w:rFonts w:ascii="宋体" w:hAnsi="宋体" w:eastAsia="宋体" w:cs="宋体"/>
    </w:rPr>
  </w:style>
  <w:style w:type="paragraph" w:customStyle="1" w:styleId="12">
    <w:name w:val="正文_1"/>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13">
    <w:name w:val="Normal_5_1"/>
    <w:qFormat/>
    <w:uiPriority w:val="0"/>
    <w:pPr>
      <w:widowControl w:val="0"/>
      <w:jc w:val="both"/>
    </w:pPr>
    <w:rPr>
      <w:rFonts w:ascii="宋体" w:hAnsi="宋体" w:eastAsia="宋体" w:cs="宋体"/>
      <w:kern w:val="0"/>
      <w:sz w:val="20"/>
      <w:szCs w:val="20"/>
      <w:lang w:val="en-US" w:eastAsia="zh-CN" w:bidi="ar-SA"/>
    </w:rPr>
  </w:style>
  <w:style w:type="paragraph" w:customStyle="1" w:styleId="14">
    <w:name w:val="List Paragraph_1"/>
    <w:basedOn w:val="13"/>
    <w:qFormat/>
    <w:uiPriority w:val="99"/>
    <w:pPr>
      <w:widowControl/>
      <w:ind w:firstLine="420" w:firstLineChars="200"/>
      <w:jc w:val="left"/>
    </w:pPr>
    <w:rPr>
      <w:sz w:val="24"/>
      <w:szCs w:val="24"/>
    </w:rPr>
  </w:style>
  <w:style w:type="paragraph" w:customStyle="1" w:styleId="15">
    <w:name w:val="Normal_19"/>
    <w:qFormat/>
    <w:uiPriority w:val="0"/>
    <w:pPr>
      <w:widowControl w:val="0"/>
      <w:jc w:val="both"/>
    </w:pPr>
    <w:rPr>
      <w:rFonts w:ascii="Times New Roman" w:hAnsi="Times New Roman" w:eastAsia="等线" w:cs="Times New Roman"/>
      <w:kern w:val="0"/>
      <w:sz w:val="20"/>
      <w:szCs w:val="20"/>
      <w:lang w:val="en-US" w:eastAsia="zh-CN" w:bidi="ar-SA"/>
    </w:rPr>
  </w:style>
  <w:style w:type="paragraph" w:customStyle="1" w:styleId="16">
    <w:name w:val="List Paragraph_0_1"/>
    <w:basedOn w:val="15"/>
    <w:qFormat/>
    <w:uiPriority w:val="34"/>
    <w:pPr>
      <w:ind w:firstLine="420" w:firstLineChars="200"/>
    </w:pPr>
    <w:rPr>
      <w:rFonts w:ascii="宋体" w:hAnsi="宋体" w:eastAsia="宋体" w:cs="宋体"/>
    </w:rPr>
  </w:style>
  <w:style w:type="paragraph" w:customStyle="1" w:styleId="17">
    <w:name w:val="List Paragraph_1_0"/>
    <w:basedOn w:val="1"/>
    <w:qFormat/>
    <w:uiPriority w:val="34"/>
    <w:pPr>
      <w:ind w:firstLine="420" w:firstLineChars="20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67CC-754E-40B8-8A41-C5CBE6A62420}">
  <ds:schemaRefs/>
</ds:datastoreItem>
</file>

<file path=docProps/app.xml><?xml version="1.0" encoding="utf-8"?>
<Properties xmlns="http://schemas.openxmlformats.org/officeDocument/2006/extended-properties" xmlns:vt="http://schemas.openxmlformats.org/officeDocument/2006/docPropsVTypes">
  <Template>Normal.dotm</Template>
  <Company>cr</Company>
  <Pages>8</Pages>
  <Words>764</Words>
  <Characters>4357</Characters>
  <Lines>36</Lines>
  <Paragraphs>10</Paragraphs>
  <TotalTime>24</TotalTime>
  <ScaleCrop>false</ScaleCrop>
  <LinksUpToDate>false</LinksUpToDate>
  <CharactersWithSpaces>5111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2023-07-28T06:23:00Z</dcterms:created>
  <dc:creator>吴煜</dc:creator>
  <cp:lastModifiedBy>Jan</cp:lastModifiedBy>
  <dcterms:modified xsi:type="dcterms:W3CDTF">2023-08-04T01:29:27Z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ACCBC4242D234E599140E31FC2D432BD_13</vt:lpwstr>
  </property>
</Properties>
</file>