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color w:val="auto"/>
          <w:sz w:val="28"/>
          <w:highlight w:val="none"/>
        </w:rPr>
      </w:pPr>
    </w:p>
    <w:p>
      <w:pPr>
        <w:spacing w:line="288" w:lineRule="auto"/>
        <w:jc w:val="center"/>
        <w:rPr>
          <w:rFonts w:hint="eastAsia" w:asciiTheme="minorEastAsia" w:hAnsiTheme="minorEastAsia" w:eastAsiaTheme="minorEastAsia" w:cstheme="minorEastAsia"/>
          <w:color w:val="auto"/>
          <w:sz w:val="48"/>
          <w:szCs w:val="48"/>
          <w:highlight w:val="none"/>
          <w:lang w:eastAsia="zh-CN"/>
        </w:rPr>
      </w:pPr>
    </w:p>
    <w:p>
      <w:pPr>
        <w:spacing w:line="288" w:lineRule="auto"/>
        <w:jc w:val="center"/>
        <w:rPr>
          <w:rFonts w:hint="eastAsia" w:asciiTheme="minorEastAsia" w:hAnsiTheme="minorEastAsia" w:eastAsiaTheme="minorEastAsia" w:cstheme="minorEastAsia"/>
          <w:color w:val="auto"/>
          <w:sz w:val="48"/>
          <w:szCs w:val="48"/>
          <w:highlight w:val="none"/>
          <w:lang w:eastAsia="zh-CN"/>
        </w:rPr>
      </w:pPr>
      <w:r>
        <w:rPr>
          <w:rFonts w:hint="eastAsia" w:asciiTheme="minorEastAsia" w:hAnsiTheme="minorEastAsia" w:eastAsiaTheme="minorEastAsia" w:cstheme="minorEastAsia"/>
          <w:color w:val="auto"/>
          <w:sz w:val="48"/>
          <w:szCs w:val="48"/>
          <w:highlight w:val="none"/>
          <w:lang w:eastAsia="zh-CN"/>
        </w:rPr>
        <w:t>2021年省、市在佛山挂牌的火灾高风险区域整治工作实地检查评估项目</w:t>
      </w:r>
    </w:p>
    <w:p>
      <w:pPr>
        <w:pStyle w:val="20"/>
        <w:rPr>
          <w:rFonts w:hint="eastAsia" w:asciiTheme="minorEastAsia" w:hAnsiTheme="minorEastAsia" w:eastAsiaTheme="minorEastAsia" w:cstheme="minorEastAsia"/>
          <w:color w:val="auto"/>
          <w:sz w:val="48"/>
          <w:szCs w:val="48"/>
          <w:highlight w:val="none"/>
          <w:lang w:eastAsia="zh-CN"/>
        </w:rPr>
      </w:pPr>
    </w:p>
    <w:p>
      <w:pPr>
        <w:rPr>
          <w:rFonts w:hint="eastAsia" w:asciiTheme="minorEastAsia" w:hAnsiTheme="minorEastAsia" w:eastAsiaTheme="minorEastAsia" w:cstheme="minorEastAsia"/>
          <w:color w:val="auto"/>
          <w:sz w:val="48"/>
          <w:szCs w:val="48"/>
          <w:highlight w:val="none"/>
          <w:lang w:eastAsia="zh-CN"/>
        </w:rPr>
      </w:pPr>
    </w:p>
    <w:p>
      <w:pPr>
        <w:pStyle w:val="20"/>
        <w:rPr>
          <w:rFonts w:hint="eastAsia" w:asciiTheme="minorEastAsia" w:hAnsiTheme="minorEastAsia" w:eastAsiaTheme="minorEastAsia" w:cstheme="minorEastAsia"/>
          <w:color w:val="auto"/>
          <w:highlight w:val="none"/>
          <w:lang w:eastAsia="zh-CN"/>
        </w:rPr>
      </w:pPr>
    </w:p>
    <w:p>
      <w:pPr>
        <w:pStyle w:val="20"/>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color w:val="auto"/>
          <w:highlight w:val="none"/>
          <w:lang w:eastAsia="zh-CN"/>
        </w:rPr>
      </w:pPr>
    </w:p>
    <w:p>
      <w:pPr>
        <w:spacing w:line="1600" w:lineRule="atLeast"/>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竞争性磋商文件</w:t>
      </w:r>
    </w:p>
    <w:p>
      <w:pPr>
        <w:spacing w:line="500" w:lineRule="exact"/>
        <w:rPr>
          <w:rFonts w:hint="eastAsia" w:asciiTheme="minorEastAsia" w:hAnsiTheme="minorEastAsia" w:eastAsiaTheme="minorEastAsia" w:cstheme="minorEastAsia"/>
          <w:bCs/>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41" w:type="dxa"/>
            <w:tcBorders>
              <w:top w:val="nil"/>
              <w:left w:val="nil"/>
              <w:bottom w:val="nil"/>
              <w:right w:val="nil"/>
            </w:tcBorders>
            <w:noWrap w:val="0"/>
            <w:vAlign w:val="top"/>
          </w:tcPr>
          <w:p>
            <w:pPr>
              <w:spacing w:line="50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项目编号： </w:t>
            </w:r>
          </w:p>
        </w:tc>
        <w:tc>
          <w:tcPr>
            <w:tcW w:w="5197" w:type="dxa"/>
            <w:tcBorders>
              <w:top w:val="nil"/>
              <w:left w:val="nil"/>
              <w:bottom w:val="nil"/>
              <w:right w:val="nil"/>
            </w:tcBorders>
            <w:noWrap w:val="0"/>
            <w:vAlign w:val="top"/>
          </w:tcPr>
          <w:p>
            <w:pPr>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FEGD-ZT211328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41" w:type="dxa"/>
            <w:tcBorders>
              <w:top w:val="nil"/>
              <w:left w:val="nil"/>
              <w:bottom w:val="nil"/>
              <w:right w:val="nil"/>
            </w:tcBorders>
            <w:noWrap w:val="0"/>
            <w:vAlign w:val="top"/>
          </w:tcPr>
          <w:p>
            <w:pPr>
              <w:spacing w:line="50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项目名称：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项目名称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p>
        </w:tc>
        <w:tc>
          <w:tcPr>
            <w:tcW w:w="5197" w:type="dxa"/>
            <w:tcBorders>
              <w:top w:val="nil"/>
              <w:left w:val="nil"/>
              <w:bottom w:val="nil"/>
              <w:right w:val="nil"/>
            </w:tcBorders>
            <w:noWrap w:val="0"/>
            <w:vAlign w:val="top"/>
          </w:tcPr>
          <w:p>
            <w:pPr>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2021年省、市在佛山挂牌的火灾高风险区域整治工作实地检查评估项目</w:t>
            </w:r>
          </w:p>
        </w:tc>
      </w:tr>
    </w:tbl>
    <w:p>
      <w:pPr>
        <w:spacing w:line="360" w:lineRule="auto"/>
        <w:rPr>
          <w:rFonts w:hint="eastAsia" w:asciiTheme="minorEastAsia" w:hAnsiTheme="minorEastAsia" w:eastAsiaTheme="minorEastAsia" w:cstheme="minorEastAsia"/>
          <w:b/>
          <w:color w:val="auto"/>
          <w:sz w:val="28"/>
          <w:highlight w:val="none"/>
        </w:rPr>
      </w:pPr>
    </w:p>
    <w:p>
      <w:pPr>
        <w:spacing w:line="360" w:lineRule="auto"/>
        <w:jc w:val="center"/>
        <w:rPr>
          <w:rFonts w:hint="eastAsia" w:asciiTheme="minorEastAsia" w:hAnsiTheme="minorEastAsia" w:eastAsiaTheme="minorEastAsia" w:cstheme="minorEastAsia"/>
          <w:b/>
          <w:color w:val="auto"/>
          <w:sz w:val="28"/>
          <w:highlight w:val="none"/>
        </w:rPr>
      </w:pPr>
    </w:p>
    <w:p>
      <w:pPr>
        <w:pStyle w:val="31"/>
        <w:ind w:left="1470" w:right="1470"/>
        <w:rPr>
          <w:rFonts w:hint="eastAsia" w:asciiTheme="minorEastAsia" w:hAnsiTheme="minorEastAsia" w:eastAsiaTheme="minorEastAsia" w:cstheme="minorEastAsia"/>
          <w:b/>
          <w:color w:val="auto"/>
          <w:sz w:val="28"/>
          <w:highlight w:val="none"/>
        </w:rPr>
      </w:pPr>
    </w:p>
    <w:p>
      <w:pPr>
        <w:pStyle w:val="31"/>
        <w:ind w:left="1470" w:right="1470"/>
        <w:rPr>
          <w:rFonts w:hint="eastAsia" w:asciiTheme="minorEastAsia" w:hAnsiTheme="minorEastAsia" w:eastAsiaTheme="minorEastAsia" w:cstheme="minorEastAsia"/>
          <w:b/>
          <w:color w:val="auto"/>
          <w:sz w:val="28"/>
          <w:highlight w:val="none"/>
        </w:rPr>
      </w:pPr>
    </w:p>
    <w:p>
      <w:pPr>
        <w:pStyle w:val="31"/>
        <w:ind w:left="1470" w:right="1470"/>
        <w:rPr>
          <w:rFonts w:hint="eastAsia" w:asciiTheme="minorEastAsia" w:hAnsiTheme="minorEastAsia" w:eastAsiaTheme="minorEastAsia" w:cstheme="minorEastAsia"/>
          <w:b/>
          <w:color w:val="auto"/>
          <w:sz w:val="28"/>
          <w:highlight w:val="none"/>
        </w:rPr>
      </w:pPr>
    </w:p>
    <w:p>
      <w:pPr>
        <w:pStyle w:val="31"/>
        <w:ind w:left="1470" w:right="1470"/>
        <w:rPr>
          <w:rFonts w:hint="eastAsia" w:asciiTheme="minorEastAsia" w:hAnsiTheme="minorEastAsia" w:eastAsiaTheme="minorEastAsia" w:cstheme="minorEastAsia"/>
          <w:b/>
          <w:color w:val="auto"/>
          <w:sz w:val="28"/>
          <w:highlight w:val="none"/>
        </w:rPr>
      </w:pPr>
    </w:p>
    <w:p>
      <w:pPr>
        <w:pStyle w:val="31"/>
        <w:ind w:left="1470" w:right="1470"/>
        <w:rPr>
          <w:rFonts w:hint="eastAsia" w:asciiTheme="minorEastAsia" w:hAnsiTheme="minorEastAsia" w:eastAsiaTheme="minorEastAsia" w:cstheme="minorEastAsia"/>
          <w:b/>
          <w:color w:val="auto"/>
          <w:sz w:val="28"/>
          <w:highlight w:val="none"/>
        </w:rPr>
      </w:pPr>
    </w:p>
    <w:p>
      <w:pPr>
        <w:pStyle w:val="31"/>
        <w:ind w:left="0" w:leftChars="0" w:right="1470"/>
        <w:rPr>
          <w:rFonts w:hint="eastAsia" w:asciiTheme="minorEastAsia" w:hAnsiTheme="minorEastAsia" w:eastAsiaTheme="minorEastAsia" w:cstheme="minorEastAsia"/>
          <w:b/>
          <w:color w:val="auto"/>
          <w:sz w:val="28"/>
          <w:highlight w:val="none"/>
        </w:rPr>
      </w:pPr>
    </w:p>
    <w:p>
      <w:pPr>
        <w:spacing w:line="360" w:lineRule="auto"/>
        <w:jc w:val="center"/>
        <w:rPr>
          <w:rFonts w:hint="eastAsia" w:asciiTheme="minorEastAsia" w:hAnsiTheme="minorEastAsia" w:eastAsiaTheme="minorEastAsia" w:cstheme="minorEastAsia"/>
          <w:b/>
          <w:bCs/>
          <w:color w:val="auto"/>
          <w:sz w:val="28"/>
          <w:highlight w:val="none"/>
          <w:lang w:eastAsia="zh-CN"/>
        </w:rPr>
      </w:pPr>
      <w:r>
        <w:rPr>
          <w:rFonts w:hint="eastAsia" w:asciiTheme="minorEastAsia" w:hAnsiTheme="minorEastAsia" w:eastAsiaTheme="minorEastAsia" w:cstheme="minorEastAsia"/>
          <w:b/>
          <w:bCs/>
          <w:color w:val="auto"/>
          <w:sz w:val="28"/>
          <w:highlight w:val="none"/>
          <w:lang w:eastAsia="zh-CN"/>
        </w:rPr>
        <w:t>采购人：佛山市消防救援支队</w:t>
      </w:r>
    </w:p>
    <w:p>
      <w:pPr>
        <w:spacing w:line="360" w:lineRule="auto"/>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采购代理机构：广东远东招标代理有限公司</w:t>
      </w:r>
    </w:p>
    <w:p>
      <w:pPr>
        <w:spacing w:line="360" w:lineRule="auto"/>
        <w:jc w:val="center"/>
        <w:rPr>
          <w:rFonts w:hint="eastAsia" w:asciiTheme="minorEastAsia" w:hAnsiTheme="minorEastAsia" w:eastAsiaTheme="minorEastAsia" w:cstheme="minorEastAsia"/>
          <w:b/>
          <w:color w:val="auto"/>
          <w:sz w:val="28"/>
          <w:szCs w:val="28"/>
          <w:highlight w:val="none"/>
        </w:rPr>
        <w:sectPr>
          <w:headerReference r:id="rId5" w:type="first"/>
          <w:headerReference r:id="rId3" w:type="default"/>
          <w:footerReference r:id="rId6" w:type="default"/>
          <w:headerReference r:id="rId4" w:type="even"/>
          <w:footerReference r:id="rId7" w:type="even"/>
          <w:pgSz w:w="11906" w:h="16838"/>
          <w:pgMar w:top="1134" w:right="1134" w:bottom="1134" w:left="1588" w:header="567" w:footer="737" w:gutter="0"/>
          <w:cols w:space="720" w:num="1"/>
          <w:titlePg/>
          <w:docGrid w:linePitch="312" w:charSpace="0"/>
        </w:sectPr>
      </w:pPr>
      <w:r>
        <w:rPr>
          <w:rFonts w:hint="eastAsia" w:asciiTheme="minorEastAsia" w:hAnsiTheme="minorEastAsia" w:eastAsiaTheme="minorEastAsia" w:cstheme="minorEastAsia"/>
          <w:b/>
          <w:bCs/>
          <w:color w:val="auto"/>
          <w:sz w:val="28"/>
          <w:szCs w:val="28"/>
          <w:highlight w:val="none"/>
        </w:rPr>
        <w:t>发布日期：202</w:t>
      </w: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t xml:space="preserve">年 </w:t>
      </w:r>
      <w:r>
        <w:rPr>
          <w:rFonts w:hint="eastAsia" w:asciiTheme="minorEastAsia" w:hAnsiTheme="minorEastAsia" w:eastAsiaTheme="minorEastAsia" w:cstheme="minorEastAsia"/>
          <w:b/>
          <w:bCs/>
          <w:color w:val="auto"/>
          <w:sz w:val="28"/>
          <w:szCs w:val="28"/>
          <w:highlight w:val="none"/>
          <w:lang w:val="en-US" w:eastAsia="zh-CN"/>
        </w:rPr>
        <w:t>11</w:t>
      </w:r>
      <w:r>
        <w:rPr>
          <w:rFonts w:hint="eastAsia" w:asciiTheme="minorEastAsia" w:hAnsiTheme="minorEastAsia" w:eastAsiaTheme="minorEastAsia" w:cstheme="minorEastAsia"/>
          <w:b/>
          <w:bCs/>
          <w:color w:val="auto"/>
          <w:sz w:val="28"/>
          <w:szCs w:val="28"/>
          <w:highlight w:val="none"/>
        </w:rPr>
        <w:t xml:space="preserve"> 月</w:t>
      </w:r>
      <w:bookmarkStart w:id="0" w:name="_Toc136682880"/>
      <w:bookmarkStart w:id="1" w:name="_Toc159385039"/>
      <w:bookmarkStart w:id="2" w:name="_Toc136662904"/>
    </w:p>
    <w:bookmarkEnd w:id="0"/>
    <w:bookmarkEnd w:id="1"/>
    <w:bookmarkEnd w:id="2"/>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bCs/>
          <w:color w:val="auto"/>
          <w:sz w:val="36"/>
          <w:highlight w:val="none"/>
        </w:rPr>
      </w:pPr>
      <w:bookmarkStart w:id="3" w:name="_Toc113157415"/>
      <w:bookmarkStart w:id="4" w:name="_Toc49329246"/>
      <w:r>
        <w:rPr>
          <w:rFonts w:hint="eastAsia" w:asciiTheme="minorEastAsia" w:hAnsiTheme="minorEastAsia" w:eastAsiaTheme="minorEastAsia" w:cstheme="minorEastAsia"/>
          <w:b/>
          <w:bCs/>
          <w:color w:val="auto"/>
          <w:sz w:val="36"/>
          <w:highlight w:val="none"/>
        </w:rPr>
        <w:t>目 录</w:t>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TOC \o "1-3" \h \u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_Toc20100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highlight w:val="none"/>
        </w:rPr>
        <w:t xml:space="preserve">第一部分   </w:t>
      </w:r>
      <w:r>
        <w:rPr>
          <w:rFonts w:hint="eastAsia" w:asciiTheme="minorEastAsia" w:hAnsiTheme="minorEastAsia" w:eastAsiaTheme="minorEastAsia" w:cstheme="minorEastAsia"/>
          <w:bCs/>
          <w:color w:val="auto"/>
          <w:highlight w:val="none"/>
          <w:lang w:eastAsia="zh-CN"/>
        </w:rPr>
        <w:t>投标</w:t>
      </w:r>
      <w:r>
        <w:rPr>
          <w:rFonts w:hint="eastAsia" w:asciiTheme="minorEastAsia" w:hAnsiTheme="minorEastAsia" w:eastAsiaTheme="minorEastAsia" w:cstheme="minorEastAsia"/>
          <w:bCs/>
          <w:color w:val="auto"/>
          <w:highlight w:val="none"/>
        </w:rPr>
        <w:t>邀请函</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_Toc20100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_Toc25824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bCs/>
          <w:color w:val="auto"/>
          <w:highlight w:val="none"/>
        </w:rPr>
        <w:t>第二部分   采购项目内容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_Toc25824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_Toc13986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i w:val="0"/>
          <w:color w:val="auto"/>
          <w:highlight w:val="none"/>
        </w:rPr>
        <w:t xml:space="preserve">一、 </w:t>
      </w:r>
      <w:r>
        <w:rPr>
          <w:rFonts w:hint="eastAsia" w:asciiTheme="minorEastAsia" w:hAnsiTheme="minorEastAsia" w:eastAsiaTheme="minorEastAsia" w:cstheme="minorEastAsia"/>
          <w:color w:val="auto"/>
          <w:highlight w:val="none"/>
        </w:rPr>
        <w:t>采购项目技术要求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_Toc13986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_Toc15752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i w:val="0"/>
          <w:color w:val="auto"/>
          <w:highlight w:val="none"/>
        </w:rPr>
        <w:t xml:space="preserve">二、 </w:t>
      </w:r>
      <w:r>
        <w:rPr>
          <w:rFonts w:hint="eastAsia" w:asciiTheme="minorEastAsia" w:hAnsiTheme="minorEastAsia" w:eastAsiaTheme="minorEastAsia" w:cstheme="minorEastAsia"/>
          <w:color w:val="auto"/>
          <w:highlight w:val="none"/>
        </w:rPr>
        <w:t>采购项目商务要求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_Toc15752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_Toc10048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bCs/>
          <w:color w:val="auto"/>
          <w:highlight w:val="none"/>
        </w:rPr>
        <w:t>第三部分   供应商须知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_Toc10048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_Toc909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一、 概念释义</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_Toc909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_Toc25913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二、 采购文件说明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_Toc25913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_Toc21419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三、 响应文件说明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_Toc21419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_Toc10345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四、 磋商小组的组成及评审程序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_Toc10345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_Toc31394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五、 评审方法及标准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_Toc31394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_Toc25039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bCs/>
          <w:color w:val="auto"/>
          <w:highlight w:val="none"/>
        </w:rPr>
        <w:t>第四部分   合同书范本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_Toc25039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_Toc2681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bCs/>
          <w:color w:val="auto"/>
          <w:highlight w:val="none"/>
        </w:rPr>
        <w:t>第五部分   响应文件格式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_Toc2681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_Toc18006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48"/>
          <w:highlight w:val="none"/>
        </w:rPr>
        <w:t>响应文件目录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_Toc18006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_Toc16804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bCs/>
          <w:color w:val="auto"/>
          <w:highlight w:val="none"/>
        </w:rPr>
        <w:t>第一章  资格性文件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_Toc16804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_Toc4542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48"/>
          <w:highlight w:val="none"/>
        </w:rPr>
        <w:t>资格性文件清单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_Toc4542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_Toc28958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rPr>
        <w:t>一、 响应承诺函</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_Toc28958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_Toc11842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lang w:val="en-US"/>
        </w:rPr>
        <w:t>1.2 法定代表人/负责人</w:t>
      </w:r>
      <w:r>
        <w:rPr>
          <w:rFonts w:hint="eastAsia" w:asciiTheme="minorEastAsia" w:hAnsiTheme="minorEastAsia" w:eastAsiaTheme="minorEastAsia" w:cstheme="minorEastAsia"/>
          <w:color w:val="auto"/>
          <w:szCs w:val="36"/>
          <w:highlight w:val="none"/>
          <w:lang w:eastAsia="zh-CN"/>
        </w:rPr>
        <w:t>证明</w:t>
      </w:r>
      <w:r>
        <w:rPr>
          <w:rFonts w:hint="eastAsia" w:asciiTheme="minorEastAsia" w:hAnsiTheme="minorEastAsia" w:eastAsiaTheme="minorEastAsia" w:cstheme="minorEastAsia"/>
          <w:color w:val="auto"/>
          <w:szCs w:val="36"/>
          <w:highlight w:val="none"/>
        </w:rPr>
        <w:t>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_Toc11842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_Toc13036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lang w:val="en-US"/>
        </w:rPr>
        <w:t>1.3 法</w:t>
      </w:r>
      <w:r>
        <w:rPr>
          <w:rFonts w:hint="eastAsia" w:asciiTheme="minorEastAsia" w:hAnsiTheme="minorEastAsia" w:eastAsiaTheme="minorEastAsia" w:cstheme="minorEastAsia"/>
          <w:color w:val="auto"/>
          <w:szCs w:val="36"/>
          <w:highlight w:val="none"/>
          <w:lang w:val="en-US" w:eastAsia="zh-CN"/>
        </w:rPr>
        <w:t>定代表人</w:t>
      </w:r>
      <w:r>
        <w:rPr>
          <w:rFonts w:hint="eastAsia" w:asciiTheme="minorEastAsia" w:hAnsiTheme="minorEastAsia" w:eastAsiaTheme="minorEastAsia" w:cstheme="minorEastAsia"/>
          <w:color w:val="auto"/>
          <w:szCs w:val="36"/>
          <w:highlight w:val="none"/>
          <w:lang w:val="en-US"/>
        </w:rPr>
        <w:t>（负责人）授权书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_Toc13036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_Toc22046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lang w:val="en-US"/>
        </w:rPr>
        <w:t>1.</w:t>
      </w:r>
      <w:r>
        <w:rPr>
          <w:rFonts w:hint="eastAsia" w:asciiTheme="minorEastAsia" w:hAnsiTheme="minorEastAsia" w:eastAsiaTheme="minorEastAsia" w:cstheme="minorEastAsia"/>
          <w:color w:val="auto"/>
          <w:szCs w:val="36"/>
          <w:highlight w:val="none"/>
          <w:lang w:val="en-US" w:eastAsia="zh-CN"/>
        </w:rPr>
        <w:t>4</w:t>
      </w:r>
      <w:r>
        <w:rPr>
          <w:rFonts w:hint="eastAsia" w:asciiTheme="minorEastAsia" w:hAnsiTheme="minorEastAsia" w:eastAsiaTheme="minorEastAsia" w:cstheme="minorEastAsia"/>
          <w:color w:val="auto"/>
          <w:szCs w:val="36"/>
          <w:highlight w:val="none"/>
          <w:lang w:val="en-US"/>
        </w:rPr>
        <w:t xml:space="preserve"> 守法经营声明书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_Toc22046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_Toc24426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lang w:val="en-US"/>
        </w:rPr>
        <w:t>1.</w:t>
      </w:r>
      <w:r>
        <w:rPr>
          <w:rFonts w:hint="eastAsia" w:asciiTheme="minorEastAsia" w:hAnsiTheme="minorEastAsia" w:eastAsiaTheme="minorEastAsia" w:cstheme="minorEastAsia"/>
          <w:color w:val="auto"/>
          <w:szCs w:val="36"/>
          <w:highlight w:val="none"/>
          <w:lang w:val="en-US" w:eastAsia="zh-CN"/>
        </w:rPr>
        <w:t>5</w:t>
      </w:r>
      <w:r>
        <w:rPr>
          <w:rFonts w:hint="eastAsia" w:asciiTheme="minorEastAsia" w:hAnsiTheme="minorEastAsia" w:eastAsiaTheme="minorEastAsia" w:cstheme="minorEastAsia"/>
          <w:color w:val="auto"/>
          <w:szCs w:val="36"/>
          <w:highlight w:val="none"/>
          <w:lang w:val="en-US"/>
        </w:rPr>
        <w:t xml:space="preserve"> 其他证明材料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_Toc24426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_Toc6029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bCs/>
          <w:color w:val="auto"/>
          <w:highlight w:val="none"/>
        </w:rPr>
        <w:t>第二章  评审内容索引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_Toc6029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_Toc11522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rPr>
        <w:t>2.1 评审内容索引表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_Toc11522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_Toc17720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bCs/>
          <w:color w:val="auto"/>
          <w:highlight w:val="none"/>
        </w:rPr>
        <w:t>第三章  商务部分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_Toc17720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_Toc31818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rPr>
        <w:t>3.1 商务条款响应表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_Toc31818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_Toc31651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rPr>
        <w:t>3.2 综合概况</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_Toc31651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_Toc13487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lang w:val="en-US"/>
        </w:rPr>
        <w:t xml:space="preserve">3.4 </w:t>
      </w:r>
      <w:r>
        <w:rPr>
          <w:rFonts w:hint="eastAsia" w:asciiTheme="minorEastAsia" w:hAnsiTheme="minorEastAsia" w:eastAsiaTheme="minorEastAsia" w:cstheme="minorEastAsia"/>
          <w:color w:val="auto"/>
          <w:szCs w:val="36"/>
          <w:highlight w:val="none"/>
        </w:rPr>
        <w:t>报价汇总表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_Toc13487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_Toc7995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lang w:val="en-US"/>
        </w:rPr>
        <w:t>3.5</w:t>
      </w:r>
      <w:r>
        <w:rPr>
          <w:rFonts w:hint="eastAsia" w:asciiTheme="minorEastAsia" w:hAnsiTheme="minorEastAsia" w:eastAsiaTheme="minorEastAsia" w:cstheme="minorEastAsia"/>
          <w:color w:val="auto"/>
          <w:szCs w:val="36"/>
          <w:highlight w:val="none"/>
        </w:rPr>
        <w:t xml:space="preserve"> 报价清单明细表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_Toc7995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_Toc7183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bCs/>
          <w:color w:val="auto"/>
          <w:highlight w:val="none"/>
        </w:rPr>
        <w:t>第四章  技术部分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_Toc7183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_Toc20510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rPr>
        <w:t>4.1 技术条款响应表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_Toc20510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_Toc21633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6"/>
          <w:highlight w:val="none"/>
        </w:rPr>
        <w:t>4.2 技术方案总体内容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_Toc21633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_Toc17684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bCs/>
          <w:color w:val="auto"/>
          <w:highlight w:val="none"/>
        </w:rPr>
        <w:t>第五章    其 他 文 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_Toc17684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bCs/>
          <w:color w:val="auto"/>
          <w:sz w:val="36"/>
          <w:highlight w:val="none"/>
        </w:rPr>
      </w:pPr>
      <w:r>
        <w:rPr>
          <w:rFonts w:hint="eastAsia" w:asciiTheme="minorEastAsia" w:hAnsiTheme="minorEastAsia" w:eastAsiaTheme="minorEastAsia" w:cstheme="minorEastAsia"/>
          <w:bCs/>
          <w:color w:val="auto"/>
          <w:szCs w:val="24"/>
          <w:highlight w:val="none"/>
        </w:rPr>
        <w:fldChar w:fldCharType="end"/>
      </w:r>
    </w:p>
    <w:bookmarkEnd w:id="3"/>
    <w:bookmarkEnd w:id="4"/>
    <w:p>
      <w:pPr>
        <w:pStyle w:val="7"/>
        <w:pageBreakBefore/>
        <w:spacing w:line="360" w:lineRule="auto"/>
        <w:ind w:left="0" w:firstLine="0"/>
        <w:rPr>
          <w:rFonts w:hint="eastAsia" w:asciiTheme="minorEastAsia" w:hAnsiTheme="minorEastAsia" w:eastAsiaTheme="minorEastAsia" w:cstheme="minorEastAsia"/>
          <w:color w:val="auto"/>
          <w:highlight w:val="none"/>
        </w:rPr>
        <w:sectPr>
          <w:headerReference r:id="rId8" w:type="default"/>
          <w:footerReference r:id="rId9" w:type="default"/>
          <w:pgSz w:w="11906" w:h="16838"/>
          <w:pgMar w:top="1440" w:right="1080" w:bottom="1440" w:left="1080" w:header="567" w:footer="737" w:gutter="0"/>
          <w:pgNumType w:fmt="decimal" w:start="2"/>
          <w:cols w:space="720" w:num="1"/>
          <w:docGrid w:linePitch="312" w:charSpace="0"/>
        </w:sectPr>
      </w:pPr>
      <w:bookmarkStart w:id="5" w:name="_Toc310519872"/>
      <w:bookmarkStart w:id="6" w:name="_Toc25854"/>
      <w:bookmarkStart w:id="7" w:name="_Toc20100"/>
      <w:bookmarkStart w:id="8" w:name="_Toc21717"/>
      <w:bookmarkStart w:id="9" w:name="_Toc325031928"/>
      <w:bookmarkStart w:id="10" w:name="_Toc14922"/>
      <w:bookmarkStart w:id="11" w:name="_Toc20214"/>
      <w:bookmarkStart w:id="12" w:name="_Toc373767185"/>
      <w:bookmarkStart w:id="13" w:name="_Toc28558"/>
      <w:bookmarkStart w:id="14" w:name="_Toc17441"/>
      <w:bookmarkStart w:id="15" w:name="_Toc18658"/>
      <w:bookmarkStart w:id="16" w:name="_Toc419106549"/>
      <w:bookmarkStart w:id="17" w:name="_Toc259803655"/>
      <w:bookmarkStart w:id="18" w:name="_Toc78604588"/>
      <w:bookmarkStart w:id="19" w:name="_Toc49329247"/>
      <w:bookmarkStart w:id="20" w:name="_Toc373767186"/>
      <w:bookmarkStart w:id="21" w:name="_Toc25825"/>
      <w:bookmarkStart w:id="22" w:name="_Toc259803656"/>
      <w:bookmarkStart w:id="23" w:name="_Toc325031929"/>
      <w:bookmarkStart w:id="24" w:name="_Toc17683"/>
      <w:bookmarkStart w:id="25" w:name="_Toc525311882"/>
      <w:bookmarkStart w:id="26" w:name="_Toc15852"/>
      <w:bookmarkStart w:id="27" w:name="_Toc419106550"/>
      <w:bookmarkStart w:id="28" w:name="_Toc113157416"/>
      <w:bookmarkStart w:id="29" w:name="_Toc7959"/>
      <w:bookmarkStart w:id="30" w:name="_Toc310519873"/>
      <w:bookmarkStart w:id="31" w:name="_Toc22533"/>
      <w:r>
        <w:rPr>
          <w:rFonts w:hint="eastAsia" w:asciiTheme="minorEastAsia" w:hAnsiTheme="minorEastAsia" w:eastAsiaTheme="minorEastAsia" w:cstheme="minorEastAsia"/>
          <w:b w:val="0"/>
          <w:bCs/>
          <w:color w:val="auto"/>
          <w:highlight w:val="none"/>
        </w:rPr>
        <w:t xml:space="preserve">第一部分   </w:t>
      </w:r>
      <w:r>
        <w:rPr>
          <w:rFonts w:hint="eastAsia" w:asciiTheme="minorEastAsia" w:hAnsiTheme="minorEastAsia" w:eastAsiaTheme="minorEastAsia" w:cstheme="minorEastAsia"/>
          <w:b w:val="0"/>
          <w:bCs/>
          <w:color w:val="auto"/>
          <w:highlight w:val="none"/>
          <w:lang w:eastAsia="zh-CN"/>
        </w:rPr>
        <w:t>投标</w:t>
      </w:r>
      <w:r>
        <w:rPr>
          <w:rFonts w:hint="eastAsia" w:asciiTheme="minorEastAsia" w:hAnsiTheme="minorEastAsia" w:eastAsiaTheme="minorEastAsia" w:cstheme="minorEastAsia"/>
          <w:b w:val="0"/>
          <w:bCs/>
          <w:color w:val="auto"/>
          <w:highlight w:val="none"/>
        </w:rPr>
        <w:t>邀请函</w:t>
      </w:r>
      <w:bookmarkEnd w:id="5"/>
      <w:bookmarkEnd w:id="6"/>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color w:val="auto"/>
          <w:sz w:val="36"/>
          <w:szCs w:val="36"/>
          <w:highlight w:val="none"/>
        </w:rPr>
      </w:pPr>
      <w:bookmarkStart w:id="32" w:name="_Toc7201"/>
      <w:r>
        <w:rPr>
          <w:rFonts w:hint="eastAsia" w:asciiTheme="minorEastAsia" w:hAnsiTheme="minorEastAsia" w:eastAsiaTheme="minorEastAsia" w:cstheme="minorEastAsia"/>
          <w:b/>
          <w:color w:val="auto"/>
          <w:sz w:val="36"/>
          <w:szCs w:val="36"/>
          <w:highlight w:val="none"/>
          <w:lang w:eastAsia="zh-CN"/>
        </w:rPr>
        <w:t>投标</w:t>
      </w:r>
      <w:r>
        <w:rPr>
          <w:rFonts w:hint="eastAsia" w:asciiTheme="minorEastAsia" w:hAnsiTheme="minorEastAsia" w:eastAsiaTheme="minorEastAsia" w:cstheme="minorEastAsia"/>
          <w:b/>
          <w:color w:val="auto"/>
          <w:sz w:val="36"/>
          <w:szCs w:val="36"/>
          <w:highlight w:val="none"/>
        </w:rPr>
        <w:t>邀请函</w:t>
      </w:r>
      <w:bookmarkEnd w:id="32"/>
    </w:p>
    <w:p>
      <w:pPr>
        <w:keepNext w:val="0"/>
        <w:keepLines w:val="0"/>
        <w:pageBreakBefore w:val="0"/>
        <w:widowControl w:val="0"/>
        <w:kinsoku/>
        <w:wordWrap/>
        <w:overflowPunct/>
        <w:topLinePunct w:val="0"/>
        <w:autoSpaceDE/>
        <w:autoSpaceDN/>
        <w:bidi w:val="0"/>
        <w:adjustRightInd/>
        <w:snapToGrid/>
        <w:spacing w:line="336" w:lineRule="auto"/>
        <w:ind w:firstLine="540" w:firstLineChars="225"/>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eastAsia="zh-CN"/>
        </w:rPr>
        <w:t>2021年省、市在佛山挂牌的火灾高风险区域整治工作实地检查评估项目</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项目的潜在</w:t>
      </w:r>
      <w:r>
        <w:rPr>
          <w:rFonts w:hint="eastAsia" w:asciiTheme="minorEastAsia" w:hAnsiTheme="minorEastAsia" w:eastAsiaTheme="minorEastAsia" w:cstheme="minorEastAsia"/>
          <w:color w:val="auto"/>
          <w:sz w:val="24"/>
          <w:highlight w:val="none"/>
          <w:lang w:eastAsia="zh-CN"/>
        </w:rPr>
        <w:t>供</w:t>
      </w:r>
      <w:r>
        <w:rPr>
          <w:rFonts w:hint="eastAsia" w:ascii="宋体" w:hAnsi="宋体" w:cs="宋体"/>
          <w:sz w:val="24"/>
          <w:highlight w:val="none"/>
        </w:rPr>
        <w:t>应</w:t>
      </w:r>
      <w:r>
        <w:rPr>
          <w:rFonts w:hint="eastAsia" w:ascii="宋体" w:hAnsi="宋体" w:cs="宋体"/>
          <w:sz w:val="24"/>
          <w:lang w:val="en-US" w:eastAsia="zh-CN"/>
        </w:rPr>
        <w:t>在</w:t>
      </w:r>
      <w:r>
        <w:rPr>
          <w:rFonts w:hint="eastAsia" w:ascii="宋体" w:hAnsi="宋体" w:cs="宋体"/>
          <w:sz w:val="24"/>
          <w:u w:val="single"/>
        </w:rPr>
        <w:t>远东电子交易平台(http://www.gdydzb.com/</w:t>
      </w:r>
      <w:r>
        <w:rPr>
          <w:rFonts w:hint="eastAsia" w:ascii="宋体" w:hAnsi="宋体" w:cs="宋体"/>
          <w:sz w:val="24"/>
          <w:u w:val="single"/>
          <w:lang w:eastAsia="zh-CN"/>
        </w:rPr>
        <w:t>）</w:t>
      </w:r>
      <w:r>
        <w:rPr>
          <w:rFonts w:hint="eastAsia" w:ascii="宋体" w:hAnsi="宋体" w:cs="宋体"/>
          <w:sz w:val="24"/>
        </w:rPr>
        <w:t>获取采购文件，并于</w:t>
      </w:r>
      <w:r>
        <w:rPr>
          <w:rFonts w:hint="eastAsia" w:ascii="宋体" w:hAnsi="宋体" w:cs="宋体"/>
          <w:sz w:val="24"/>
          <w:u w:val="single"/>
        </w:rPr>
        <w:t>2021</w:t>
      </w:r>
      <w:r>
        <w:rPr>
          <w:rFonts w:hint="eastAsia" w:ascii="宋体" w:hAnsi="宋体" w:cs="宋体"/>
          <w:bCs/>
          <w:sz w:val="24"/>
          <w:u w:val="single"/>
        </w:rPr>
        <w:t>年1</w:t>
      </w:r>
      <w:r>
        <w:rPr>
          <w:rFonts w:hint="eastAsia" w:ascii="宋体" w:hAnsi="宋体" w:cs="宋体"/>
          <w:bCs/>
          <w:sz w:val="24"/>
          <w:u w:val="single"/>
          <w:lang w:val="en-US" w:eastAsia="zh-CN"/>
        </w:rPr>
        <w:t>2</w:t>
      </w:r>
      <w:r>
        <w:rPr>
          <w:rFonts w:hint="eastAsia" w:ascii="宋体" w:hAnsi="宋体" w:cs="宋体"/>
          <w:bCs/>
          <w:sz w:val="24"/>
          <w:u w:val="single"/>
        </w:rPr>
        <w:t>月</w:t>
      </w:r>
      <w:r>
        <w:rPr>
          <w:rFonts w:hint="eastAsia" w:ascii="宋体" w:hAnsi="宋体" w:cs="宋体"/>
          <w:bCs/>
          <w:sz w:val="24"/>
          <w:u w:val="single"/>
          <w:lang w:val="en-US" w:eastAsia="zh-CN"/>
        </w:rPr>
        <w:t>6</w:t>
      </w:r>
      <w:r>
        <w:rPr>
          <w:rFonts w:hint="eastAsia" w:ascii="宋体" w:hAnsi="宋体" w:cs="宋体"/>
          <w:bCs/>
          <w:sz w:val="24"/>
          <w:u w:val="single"/>
        </w:rPr>
        <w:t>日 9 点 30 分</w:t>
      </w:r>
      <w:r>
        <w:rPr>
          <w:rFonts w:hint="eastAsia" w:ascii="宋体" w:hAnsi="宋体" w:cs="宋体"/>
          <w:bCs/>
          <w:sz w:val="24"/>
        </w:rPr>
        <w:t>（北京时间）前提交投标文件</w:t>
      </w:r>
      <w:r>
        <w:rPr>
          <w:rFonts w:hint="eastAsia" w:ascii="宋体" w:hAnsi="宋体" w:cs="宋体"/>
          <w:sz w:val="24"/>
        </w:rPr>
        <w:t>。</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b/>
          <w:color w:val="auto"/>
          <w:sz w:val="24"/>
          <w:highlight w:val="none"/>
        </w:rPr>
        <w:t>一、项目基本情况</w:t>
      </w:r>
      <w:r>
        <w:rPr>
          <w:rFonts w:hint="eastAsia" w:asciiTheme="minorEastAsia" w:hAnsiTheme="minorEastAsia" w:eastAsiaTheme="minorEastAsia" w:cstheme="minorEastAsia"/>
          <w:b/>
          <w:color w:val="auto"/>
          <w:sz w:val="24"/>
          <w:highlight w:val="none"/>
        </w:rPr>
        <w:cr/>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FEGD-ZT211328</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2021年省、市在佛山挂牌的火灾高风险区域整治工作实地检查评估项目</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采购方式：</w:t>
      </w:r>
      <w:r>
        <w:rPr>
          <w:rFonts w:hint="eastAsia" w:asciiTheme="minorEastAsia" w:hAnsiTheme="minorEastAsia" w:eastAsiaTheme="minorEastAsia" w:cstheme="minorEastAsia"/>
          <w:color w:val="auto"/>
          <w:sz w:val="24"/>
          <w:highlight w:val="none"/>
          <w:lang w:eastAsia="zh-CN"/>
        </w:rPr>
        <w:t>竞争性磋商</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预算金额：￥</w:t>
      </w:r>
      <w:r>
        <w:rPr>
          <w:rFonts w:hint="eastAsia" w:asciiTheme="minorEastAsia" w:hAnsiTheme="minorEastAsia" w:eastAsiaTheme="minorEastAsia" w:cstheme="minorEastAsia"/>
          <w:color w:val="auto"/>
          <w:sz w:val="24"/>
          <w:szCs w:val="24"/>
          <w:highlight w:val="none"/>
          <w:lang w:eastAsia="zh-CN"/>
        </w:rPr>
        <w:t>990,000.00</w:t>
      </w:r>
      <w:r>
        <w:rPr>
          <w:rFonts w:hint="eastAsia" w:asciiTheme="minorEastAsia" w:hAnsiTheme="minorEastAsia" w:eastAsiaTheme="minorEastAsia" w:cstheme="minorEastAsia"/>
          <w:color w:val="auto"/>
          <w:sz w:val="24"/>
          <w:highlight w:val="none"/>
        </w:rPr>
        <w:t>元</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最高限价（如有）：￥</w:t>
      </w:r>
      <w:r>
        <w:rPr>
          <w:rFonts w:hint="eastAsia" w:asciiTheme="minorEastAsia" w:hAnsiTheme="minorEastAsia" w:eastAsiaTheme="minorEastAsia" w:cstheme="minorEastAsia"/>
          <w:color w:val="auto"/>
          <w:sz w:val="24"/>
          <w:szCs w:val="24"/>
          <w:highlight w:val="none"/>
          <w:lang w:eastAsia="zh-CN"/>
        </w:rPr>
        <w:t>990,000.00</w:t>
      </w:r>
      <w:r>
        <w:rPr>
          <w:rFonts w:hint="eastAsia" w:asciiTheme="minorEastAsia" w:hAnsiTheme="minorEastAsia" w:eastAsiaTheme="minorEastAsia" w:cstheme="minorEastAsia"/>
          <w:color w:val="auto"/>
          <w:sz w:val="24"/>
          <w:highlight w:val="none"/>
        </w:rPr>
        <w:t>元</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采购需求：（包括但不限于标的的名称、数量、简要技术需求或服务要求等）</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1、标的名称：</w:t>
      </w:r>
      <w:r>
        <w:rPr>
          <w:rFonts w:hint="eastAsia" w:asciiTheme="minorEastAsia" w:hAnsiTheme="minorEastAsia" w:eastAsiaTheme="minorEastAsia" w:cstheme="minorEastAsia"/>
          <w:color w:val="auto"/>
          <w:sz w:val="24"/>
          <w:highlight w:val="none"/>
          <w:lang w:eastAsia="zh-CN"/>
        </w:rPr>
        <w:t>2021年省、市在佛山挂牌的火灾高风险区域整治工作实地检查评估项目</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2、标的数量：一</w:t>
      </w:r>
      <w:r>
        <w:rPr>
          <w:rFonts w:hint="eastAsia" w:asciiTheme="minorEastAsia" w:hAnsiTheme="minorEastAsia" w:eastAsiaTheme="minorEastAsia" w:cstheme="minorEastAsia"/>
          <w:color w:val="auto"/>
          <w:sz w:val="24"/>
          <w:highlight w:val="none"/>
          <w:lang w:eastAsia="zh-CN"/>
        </w:rPr>
        <w:t>项</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3、简要技术需求或服务要求：</w:t>
      </w:r>
    </w:p>
    <w:p>
      <w:pPr>
        <w:keepNext w:val="0"/>
        <w:keepLines w:val="0"/>
        <w:pageBreakBefore w:val="0"/>
        <w:widowControl w:val="0"/>
        <w:kinsoku/>
        <w:wordWrap/>
        <w:overflowPunct/>
        <w:topLinePunct w:val="0"/>
        <w:bidi w:val="0"/>
        <w:adjustRightInd/>
        <w:spacing w:afterLines="30" w:line="336" w:lineRule="auto"/>
        <w:ind w:firstLine="540" w:firstLineChars="225"/>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分别对辖区范围内18457家三小场所、15385家出租屋、504家公共场所、4044家工业场所、99个村（居）及1582个市政消火栓按照佛山市第十二批重点地区火灾隐患整治验收标准的要求进行实地评估。详见磋商文件“采购项目内容”。</w:t>
      </w:r>
    </w:p>
    <w:p>
      <w:pPr>
        <w:keepNext w:val="0"/>
        <w:keepLines w:val="0"/>
        <w:pageBreakBefore w:val="0"/>
        <w:widowControl w:val="0"/>
        <w:kinsoku/>
        <w:wordWrap/>
        <w:overflowPunct/>
        <w:topLinePunct w:val="0"/>
        <w:autoSpaceDE/>
        <w:autoSpaceDN/>
        <w:bidi w:val="0"/>
        <w:adjustRightInd/>
        <w:snapToGrid/>
        <w:spacing w:line="336" w:lineRule="auto"/>
        <w:ind w:firstLine="540" w:firstLineChars="225"/>
        <w:jc w:val="left"/>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zh-CN"/>
        </w:rPr>
        <w:t>供应商应对所有的采购内容进行报价。成交后不允许分包、转包。</w:t>
      </w:r>
    </w:p>
    <w:p>
      <w:pPr>
        <w:keepNext w:val="0"/>
        <w:keepLines w:val="0"/>
        <w:pageBreakBefore w:val="0"/>
        <w:widowControl w:val="0"/>
        <w:kinsoku/>
        <w:wordWrap/>
        <w:overflowPunct/>
        <w:topLinePunct w:val="0"/>
        <w:autoSpaceDE/>
        <w:autoSpaceDN/>
        <w:bidi w:val="0"/>
        <w:adjustRightInd/>
        <w:snapToGrid/>
        <w:spacing w:line="336" w:lineRule="auto"/>
        <w:ind w:firstLine="540" w:firstLineChars="225"/>
        <w:jc w:val="left"/>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zh-CN"/>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zh-CN"/>
        </w:rPr>
        <w:t>详细采购需求请参阅磋商文件中的采购项目内容。</w:t>
      </w:r>
    </w:p>
    <w:p>
      <w:pPr>
        <w:pStyle w:val="30"/>
        <w:keepNext w:val="0"/>
        <w:keepLines w:val="0"/>
        <w:pageBreakBefore w:val="0"/>
        <w:widowControl w:val="0"/>
        <w:kinsoku/>
        <w:wordWrap/>
        <w:overflowPunct/>
        <w:topLinePunct w:val="0"/>
        <w:bidi w:val="0"/>
        <w:adjustRightInd/>
        <w:spacing w:before="0" w:beforeLines="0" w:after="0" w:afterLines="0" w:line="336" w:lineRule="auto"/>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其他</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336"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合同履行期限：</w:t>
      </w:r>
      <w:r>
        <w:rPr>
          <w:rFonts w:hint="eastAsia" w:asciiTheme="minorEastAsia" w:hAnsiTheme="minorEastAsia" w:eastAsiaTheme="minorEastAsia" w:cstheme="minorEastAsia"/>
          <w:color w:val="auto"/>
          <w:sz w:val="24"/>
          <w:highlight w:val="none"/>
          <w:lang w:val="en-US" w:eastAsia="zh-CN"/>
        </w:rPr>
        <w:t>2021年12月25日完成所有评估数据汇总和检查、分析评估、资料整编、评估验收报告编写</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color w:val="auto"/>
          <w:sz w:val="24"/>
          <w:highlight w:val="none"/>
          <w:lang w:val="zh-CN"/>
        </w:rPr>
        <w:cr/>
      </w:r>
      <w:r>
        <w:rPr>
          <w:rFonts w:hint="eastAsia" w:asciiTheme="minorEastAsia" w:hAnsiTheme="minorEastAsia" w:eastAsiaTheme="minorEastAsia" w:cstheme="minorEastAsia"/>
          <w:b/>
          <w:color w:val="auto"/>
          <w:sz w:val="24"/>
          <w:highlight w:val="none"/>
        </w:rPr>
        <w:t>二、申请人的资格要求</w:t>
      </w:r>
      <w:r>
        <w:rPr>
          <w:rFonts w:hint="eastAsia" w:asciiTheme="minorEastAsia" w:hAnsiTheme="minorEastAsia" w:eastAsiaTheme="minorEastAsia" w:cstheme="minorEastAsia"/>
          <w:b/>
          <w:color w:val="auto"/>
          <w:sz w:val="24"/>
          <w:highlight w:val="none"/>
        </w:rPr>
        <w:cr/>
      </w:r>
      <w:r>
        <w:rPr>
          <w:rFonts w:hint="eastAsia" w:asciiTheme="minorEastAsia" w:hAnsiTheme="minorEastAsia" w:eastAsiaTheme="minorEastAsia" w:cstheme="minorEastAsia"/>
          <w:color w:val="auto"/>
          <w:sz w:val="24"/>
          <w:highlight w:val="none"/>
        </w:rPr>
        <w:t>1.满足《中华人民共和国政府采购法》第二十二条规定，并提供相关证明材料复印件；</w:t>
      </w:r>
    </w:p>
    <w:p>
      <w:pPr>
        <w:keepNext w:val="0"/>
        <w:keepLines w:val="0"/>
        <w:pageBreakBefore w:val="0"/>
        <w:widowControl w:val="0"/>
        <w:numPr>
          <w:ilvl w:val="0"/>
          <w:numId w:val="1"/>
        </w:numPr>
        <w:kinsoku/>
        <w:wordWrap/>
        <w:overflowPunct/>
        <w:topLinePunct w:val="0"/>
        <w:bidi w:val="0"/>
        <w:adjustRightInd/>
        <w:spacing w:line="336" w:lineRule="auto"/>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具有独立承担民事责任的能力（在中华人民共和国境内注册的单位提供</w:t>
      </w:r>
      <w:r>
        <w:rPr>
          <w:rFonts w:hint="eastAsia" w:asciiTheme="minorEastAsia" w:hAnsiTheme="minorEastAsia" w:eastAsiaTheme="minorEastAsia" w:cstheme="minorEastAsia"/>
          <w:color w:val="auto"/>
          <w:sz w:val="24"/>
          <w:highlight w:val="none"/>
          <w:lang w:eastAsia="zh-CN"/>
        </w:rPr>
        <w:t>有效的</w:t>
      </w:r>
      <w:r>
        <w:rPr>
          <w:rFonts w:hint="eastAsia" w:asciiTheme="minorEastAsia" w:hAnsiTheme="minorEastAsia" w:eastAsiaTheme="minorEastAsia" w:cstheme="minorEastAsia"/>
          <w:color w:val="auto"/>
          <w:sz w:val="24"/>
          <w:highlight w:val="none"/>
        </w:rPr>
        <w:t>营业执照或事业</w:t>
      </w:r>
      <w:r>
        <w:rPr>
          <w:rFonts w:hint="eastAsia" w:asciiTheme="minorEastAsia" w:hAnsiTheme="minorEastAsia" w:eastAsiaTheme="minorEastAsia" w:cstheme="minorEastAsia"/>
          <w:color w:val="auto"/>
          <w:sz w:val="24"/>
          <w:highlight w:val="none"/>
          <w:lang w:eastAsia="zh-CN"/>
        </w:rPr>
        <w:t>单位</w:t>
      </w:r>
      <w:r>
        <w:rPr>
          <w:rFonts w:hint="eastAsia" w:asciiTheme="minorEastAsia" w:hAnsiTheme="minorEastAsia" w:eastAsiaTheme="minorEastAsia" w:cstheme="minorEastAsia"/>
          <w:color w:val="auto"/>
          <w:sz w:val="24"/>
          <w:highlight w:val="none"/>
        </w:rPr>
        <w:t>法人登记证或社会团体法人登记证书）；</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2）具有良好的商业信誉和健全的财务会计制度（</w:t>
      </w:r>
      <w:r>
        <w:rPr>
          <w:rFonts w:hint="eastAsia" w:asciiTheme="minorEastAsia" w:hAnsiTheme="minorEastAsia" w:eastAsiaTheme="minorEastAsia" w:cstheme="minorEastAsia"/>
          <w:color w:val="auto"/>
          <w:sz w:val="24"/>
          <w:highlight w:val="none"/>
          <w:lang w:eastAsia="zh-CN"/>
        </w:rPr>
        <w:t>提供2020年度财务审计报告或2021年度任意1个月的财务状况报告复印件或基本开户银行出具的资信证明</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3）有依法缴纳税收和社会保障资金的良好记录（提供</w:t>
      </w:r>
      <w:r>
        <w:rPr>
          <w:rFonts w:hint="eastAsia" w:asciiTheme="minorEastAsia" w:hAnsiTheme="minorEastAsia" w:eastAsiaTheme="minorEastAsia" w:cstheme="minorEastAsia"/>
          <w:color w:val="auto"/>
          <w:sz w:val="24"/>
          <w:highlight w:val="none"/>
          <w:lang w:eastAsia="zh-CN"/>
        </w:rPr>
        <w:t>2021</w:t>
      </w:r>
      <w:r>
        <w:rPr>
          <w:rFonts w:hint="eastAsia" w:asciiTheme="minorEastAsia" w:hAnsiTheme="minorEastAsia" w:eastAsiaTheme="minorEastAsia" w:cstheme="minorEastAsia"/>
          <w:color w:val="auto"/>
          <w:sz w:val="24"/>
          <w:highlight w:val="none"/>
        </w:rPr>
        <w:t>年任意1个月依法缴纳税收和社会保障资金的相关材料。如依法免税或不需要缴纳社会保障资金的，提供相应证明材料）；</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4）具备履行合同所必需的设备和专业技术能力（提供守法经营声明书）；</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5）参加政府采购活动前三年内，在经营活动中没有重大违法记录（提供守法经营声明书）；</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6）法律、行政法规规定的其他条件（提供守法经营声明书）。</w:t>
      </w:r>
    </w:p>
    <w:p>
      <w:pPr>
        <w:keepNext w:val="0"/>
        <w:keepLines w:val="0"/>
        <w:pageBreakBefore w:val="0"/>
        <w:widowControl w:val="0"/>
        <w:kinsoku/>
        <w:wordWrap/>
        <w:overflowPunct/>
        <w:topLinePunct w:val="0"/>
        <w:bidi w:val="0"/>
        <w:adjustRightInd/>
        <w:spacing w:line="336" w:lineRule="auto"/>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提供“信用中国”网站（www.creditchina.gov.cn）以及中国政府采购网(www.ccgp.gov.cn)查询结果网页打印件，如相关失信记录已失效，供应商需提供相关证明资料；（以采购代理机构于投标截止日当天在“信用中国”网站及中国政府采购网查询结果为准）</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2.落实政府采购政策需满足的资格要求：本项目</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属于专门面向中小企业采购的项目。对于中小微企业、监狱企业、残疾人福利性单位等参与本项目所享受的优惠政策，详见本项目磋商文件</w:t>
      </w:r>
      <w:r>
        <w:rPr>
          <w:rFonts w:hint="eastAsia" w:asciiTheme="minorEastAsia" w:hAnsiTheme="minorEastAsia" w:eastAsiaTheme="minorEastAsia" w:cstheme="minorEastAsia"/>
          <w:color w:val="auto"/>
          <w:sz w:val="24"/>
          <w:highlight w:val="none"/>
          <w:lang w:eastAsia="zh-CN"/>
        </w:rPr>
        <w:t>。</w:t>
      </w:r>
    </w:p>
    <w:p>
      <w:pPr>
        <w:keepNext w:val="0"/>
        <w:keepLines w:val="0"/>
        <w:pageBreakBefore w:val="0"/>
        <w:widowControl w:val="0"/>
        <w:kinsoku/>
        <w:wordWrap/>
        <w:overflowPunct/>
        <w:topLinePunct w:val="0"/>
        <w:bidi w:val="0"/>
        <w:adjustRightInd/>
        <w:spacing w:line="336" w:lineRule="auto"/>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3.本项目的特定资格要求：</w:t>
      </w:r>
    </w:p>
    <w:p>
      <w:pPr>
        <w:keepNext w:val="0"/>
        <w:keepLines w:val="0"/>
        <w:pageBreakBefore w:val="0"/>
        <w:widowControl w:val="0"/>
        <w:kinsoku/>
        <w:wordWrap/>
        <w:overflowPunct/>
        <w:topLinePunct w:val="0"/>
        <w:bidi w:val="0"/>
        <w:adjustRightInd/>
        <w:spacing w:line="336" w:lineRule="auto"/>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为本项目提供整体设计、规范编制或者项目管理、监理、检测等服务的供应商，不得再参加本采购项目的投标。（提供守法经营声明书）</w:t>
      </w:r>
    </w:p>
    <w:p>
      <w:pPr>
        <w:keepNext w:val="0"/>
        <w:keepLines w:val="0"/>
        <w:pageBreakBefore w:val="0"/>
        <w:widowControl w:val="0"/>
        <w:kinsoku/>
        <w:wordWrap/>
        <w:overflowPunct/>
        <w:topLinePunct w:val="0"/>
        <w:bidi w:val="0"/>
        <w:adjustRightInd/>
        <w:spacing w:line="336" w:lineRule="auto"/>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2"/>
          <w:highlight w:val="none"/>
        </w:rPr>
        <w:t>3.</w:t>
      </w:r>
      <w:r>
        <w:rPr>
          <w:rFonts w:hint="eastAsia" w:asciiTheme="minorEastAsia" w:hAnsiTheme="minorEastAsia" w:eastAsiaTheme="minorEastAsia" w:cstheme="minorEastAsia"/>
          <w:color w:val="auto"/>
          <w:sz w:val="24"/>
          <w:szCs w:val="22"/>
          <w:highlight w:val="none"/>
          <w:lang w:val="en-US" w:eastAsia="zh-CN"/>
        </w:rPr>
        <w:t>2</w:t>
      </w:r>
      <w:r>
        <w:rPr>
          <w:rFonts w:hint="eastAsia" w:asciiTheme="minorEastAsia" w:hAnsiTheme="minorEastAsia" w:eastAsiaTheme="minorEastAsia" w:cstheme="minorEastAsia"/>
          <w:color w:val="auto"/>
          <w:sz w:val="24"/>
          <w:szCs w:val="22"/>
          <w:highlight w:val="none"/>
        </w:rPr>
        <w:t>单位负责人为同一人或者存在直接控股、管理关系的不同供应商，不得同时参加本采购项目的投标（提供守法经营声明书）。</w:t>
      </w:r>
    </w:p>
    <w:p>
      <w:pPr>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3.3符合应急管理部消防部门印发的消防技术服务机构从业条件﹝以《应急管理部关于印发&lt;消防技术服务机构从业条件&gt;的通知》应急【2019】88 号) 的要求为准，需提供承诺书或社会消防技术服务信息系统备案截图（https://www.shhxf119.com）﹞</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本项目不接受联合体投标。</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lang w:eastAsia="zh-CN"/>
        </w:rPr>
        <w:t>三、</w:t>
      </w:r>
      <w:r>
        <w:rPr>
          <w:rFonts w:hint="eastAsia" w:asciiTheme="minorEastAsia" w:hAnsiTheme="minorEastAsia" w:eastAsiaTheme="minorEastAsia" w:cstheme="minorEastAsia"/>
          <w:b/>
          <w:color w:val="auto"/>
          <w:sz w:val="24"/>
          <w:highlight w:val="none"/>
        </w:rPr>
        <w:t>获取招标文件</w:t>
      </w:r>
      <w:r>
        <w:rPr>
          <w:rFonts w:hint="eastAsia" w:asciiTheme="minorEastAsia" w:hAnsiTheme="minorEastAsia" w:eastAsiaTheme="minorEastAsia" w:cstheme="minorEastAsia"/>
          <w:b/>
          <w:color w:val="auto"/>
          <w:sz w:val="24"/>
          <w:highlight w:val="none"/>
        </w:rPr>
        <w:cr/>
      </w:r>
      <w:r>
        <w:rPr>
          <w:rFonts w:hint="eastAsia" w:asciiTheme="minorEastAsia" w:hAnsiTheme="minorEastAsia" w:eastAsiaTheme="minorEastAsia" w:cstheme="minorEastAsia"/>
          <w:color w:val="auto"/>
          <w:sz w:val="24"/>
          <w:highlight w:val="none"/>
          <w:lang w:val="en-US" w:eastAsia="zh-CN"/>
        </w:rPr>
        <w:t>时间：</w:t>
      </w:r>
      <w:r>
        <w:rPr>
          <w:rFonts w:hint="eastAsia" w:ascii="宋体" w:hAnsi="宋体" w:cs="宋体"/>
          <w:bCs/>
          <w:color w:val="000000"/>
          <w:sz w:val="24"/>
          <w:szCs w:val="24"/>
        </w:rPr>
        <w:t>202</w:t>
      </w:r>
      <w:r>
        <w:rPr>
          <w:rFonts w:hint="eastAsia" w:ascii="宋体" w:hAnsi="宋体" w:cs="宋体"/>
          <w:bCs/>
          <w:color w:val="000000"/>
          <w:sz w:val="24"/>
          <w:szCs w:val="24"/>
          <w:lang w:val="en-US" w:eastAsia="zh-CN"/>
        </w:rPr>
        <w:t>1</w:t>
      </w:r>
      <w:r>
        <w:rPr>
          <w:rFonts w:hint="eastAsia" w:ascii="宋体" w:hAnsi="宋体" w:cs="宋体"/>
          <w:bCs/>
          <w:color w:val="000000"/>
          <w:sz w:val="24"/>
          <w:szCs w:val="24"/>
        </w:rPr>
        <w:t>年</w:t>
      </w:r>
      <w:r>
        <w:rPr>
          <w:rFonts w:hint="eastAsia" w:ascii="宋体" w:hAnsi="宋体" w:cs="宋体"/>
          <w:bCs/>
          <w:color w:val="000000"/>
          <w:sz w:val="24"/>
          <w:szCs w:val="24"/>
          <w:lang w:val="en-US" w:eastAsia="zh-CN"/>
        </w:rPr>
        <w:t>11</w:t>
      </w:r>
      <w:r>
        <w:rPr>
          <w:rFonts w:hint="eastAsia" w:ascii="宋体" w:hAnsi="宋体" w:cs="宋体"/>
          <w:bCs/>
          <w:color w:val="000000"/>
          <w:sz w:val="24"/>
          <w:szCs w:val="24"/>
        </w:rPr>
        <w:t>月</w:t>
      </w:r>
      <w:r>
        <w:rPr>
          <w:rFonts w:hint="eastAsia" w:ascii="宋体" w:hAnsi="宋体" w:cs="宋体"/>
          <w:bCs/>
          <w:color w:val="000000"/>
          <w:sz w:val="24"/>
          <w:szCs w:val="24"/>
          <w:lang w:val="en-US" w:eastAsia="zh-CN"/>
        </w:rPr>
        <w:t>25</w:t>
      </w:r>
      <w:r>
        <w:rPr>
          <w:rFonts w:hint="eastAsia" w:ascii="宋体" w:hAnsi="宋体" w:cs="宋体"/>
          <w:bCs/>
          <w:color w:val="000000"/>
          <w:sz w:val="24"/>
          <w:szCs w:val="24"/>
        </w:rPr>
        <w:t>日至20</w:t>
      </w:r>
      <w:r>
        <w:rPr>
          <w:rFonts w:hint="eastAsia" w:ascii="宋体" w:hAnsi="宋体" w:cs="宋体"/>
          <w:bCs/>
          <w:color w:val="000000"/>
          <w:sz w:val="24"/>
          <w:szCs w:val="24"/>
          <w:lang w:val="en-US" w:eastAsia="zh-CN"/>
        </w:rPr>
        <w:t>21</w:t>
      </w:r>
      <w:r>
        <w:rPr>
          <w:rFonts w:hint="eastAsia" w:ascii="宋体" w:hAnsi="宋体" w:cs="宋体"/>
          <w:bCs/>
          <w:color w:val="000000"/>
          <w:sz w:val="24"/>
          <w:szCs w:val="24"/>
        </w:rPr>
        <w:t>年</w:t>
      </w:r>
      <w:r>
        <w:rPr>
          <w:rFonts w:hint="eastAsia" w:ascii="宋体" w:hAnsi="宋体" w:cs="宋体"/>
          <w:bCs/>
          <w:color w:val="000000"/>
          <w:sz w:val="24"/>
          <w:szCs w:val="24"/>
          <w:lang w:val="en-US" w:eastAsia="zh-CN"/>
        </w:rPr>
        <w:t>12</w:t>
      </w:r>
      <w:r>
        <w:rPr>
          <w:rFonts w:hint="eastAsia" w:ascii="宋体" w:hAnsi="宋体" w:cs="宋体"/>
          <w:bCs/>
          <w:color w:val="000000"/>
          <w:sz w:val="24"/>
          <w:szCs w:val="24"/>
        </w:rPr>
        <w:t>月</w:t>
      </w:r>
      <w:r>
        <w:rPr>
          <w:rFonts w:hint="eastAsia" w:ascii="宋体" w:hAnsi="宋体" w:cs="宋体"/>
          <w:bCs/>
          <w:color w:val="000000"/>
          <w:sz w:val="24"/>
          <w:szCs w:val="24"/>
          <w:lang w:val="en-US" w:eastAsia="zh-CN"/>
        </w:rPr>
        <w:t>1</w:t>
      </w:r>
      <w:r>
        <w:rPr>
          <w:rFonts w:hint="eastAsia" w:ascii="宋体" w:hAnsi="宋体" w:cs="宋体"/>
          <w:bCs/>
          <w:color w:val="000000"/>
          <w:sz w:val="24"/>
          <w:szCs w:val="24"/>
        </w:rPr>
        <w:t>日</w:t>
      </w:r>
      <w:r>
        <w:rPr>
          <w:rFonts w:hint="eastAsia" w:asciiTheme="minorEastAsia" w:hAnsiTheme="minorEastAsia" w:eastAsiaTheme="minorEastAsia" w:cstheme="minorEastAsia"/>
          <w:color w:val="auto"/>
          <w:sz w:val="24"/>
          <w:highlight w:val="none"/>
          <w:lang w:val="en-US" w:eastAsia="zh-CN"/>
        </w:rPr>
        <w:t>（招标文件的发售期限自开始之日起不得少于5个工作日），每天上午8：30至12：00 ，下午14：00至17：30（北京时间，法定节假日除外 ）</w:t>
      </w:r>
    </w:p>
    <w:p>
      <w:pPr>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地点：网上获取。</w:t>
      </w:r>
    </w:p>
    <w:p>
      <w:pPr>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方式：网上获取，详见第六点“其他补充事宜”</w:t>
      </w:r>
    </w:p>
    <w:p>
      <w:pPr>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售价：500元（人民币）</w:t>
      </w:r>
    </w:p>
    <w:p>
      <w:pPr>
        <w:spacing w:after="93" w:afterLines="30" w:line="360" w:lineRule="auto"/>
        <w:jc w:val="left"/>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color w:val="auto"/>
          <w:sz w:val="24"/>
          <w:highlight w:val="none"/>
        </w:rPr>
        <w:t>四、提交投标文件截止时间、开标时间和地点</w:t>
      </w:r>
      <w:r>
        <w:rPr>
          <w:rFonts w:hint="eastAsia" w:asciiTheme="minorEastAsia" w:hAnsiTheme="minorEastAsia" w:eastAsiaTheme="minorEastAsia" w:cstheme="minorEastAsia"/>
          <w:b/>
          <w:color w:val="auto"/>
          <w:sz w:val="24"/>
          <w:highlight w:val="none"/>
        </w:rPr>
        <w:cr/>
      </w:r>
      <w:r>
        <w:rPr>
          <w:rFonts w:hint="eastAsia" w:asciiTheme="minorEastAsia" w:hAnsiTheme="minorEastAsia" w:eastAsiaTheme="minorEastAsia" w:cstheme="minorEastAsia"/>
          <w:b w:val="0"/>
          <w:bCs/>
          <w:color w:val="auto"/>
          <w:sz w:val="24"/>
          <w:highlight w:val="none"/>
        </w:rPr>
        <w:t>截止时间：</w:t>
      </w:r>
      <w:r>
        <w:rPr>
          <w:rFonts w:hint="eastAsia" w:ascii="宋体" w:hAnsi="宋体" w:eastAsia="宋体" w:cs="宋体"/>
          <w:kern w:val="0"/>
          <w:sz w:val="24"/>
          <w:highlight w:val="none"/>
          <w:lang w:val="en-US" w:eastAsia="zh-CN"/>
        </w:rPr>
        <w:t>2021年12月6日</w:t>
      </w:r>
      <w:r>
        <w:rPr>
          <w:rFonts w:hint="eastAsia" w:asciiTheme="minorEastAsia" w:hAnsiTheme="minorEastAsia" w:eastAsiaTheme="minorEastAsia" w:cstheme="minorEastAsia"/>
          <w:b w:val="0"/>
          <w:bCs/>
          <w:color w:val="auto"/>
          <w:sz w:val="24"/>
          <w:highlight w:val="none"/>
        </w:rPr>
        <w:t xml:space="preserve"> 9 点 30 分（北京时间）（自招标文件开始发出之日起至投标人提交投标文件截止之日止）</w:t>
      </w:r>
    </w:p>
    <w:p>
      <w:pPr>
        <w:spacing w:after="93" w:afterLines="30" w:line="360" w:lineRule="auto"/>
        <w:jc w:val="left"/>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地点：</w:t>
      </w:r>
      <w:r>
        <w:rPr>
          <w:rFonts w:hint="eastAsia" w:asciiTheme="minorEastAsia" w:hAnsiTheme="minorEastAsia" w:eastAsiaTheme="minorEastAsia" w:cstheme="minorEastAsia"/>
          <w:b w:val="0"/>
          <w:bCs/>
          <w:color w:val="auto"/>
          <w:sz w:val="24"/>
          <w:highlight w:val="none"/>
          <w:lang w:eastAsia="zh-CN"/>
        </w:rPr>
        <w:t>佛山市禅城区季华五路10号金融广场17层A区之一（广东远东招标代理有限公司佛山分公司 开标室）</w:t>
      </w:r>
    </w:p>
    <w:p>
      <w:pPr>
        <w:spacing w:after="93" w:afterLines="30"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五、</w:t>
      </w:r>
      <w:r>
        <w:rPr>
          <w:rFonts w:hint="eastAsia" w:asciiTheme="minorEastAsia" w:hAnsiTheme="minorEastAsia" w:eastAsiaTheme="minorEastAsia" w:cstheme="minorEastAsia"/>
          <w:b/>
          <w:color w:val="auto"/>
          <w:sz w:val="24"/>
          <w:highlight w:val="none"/>
          <w:lang w:eastAsia="zh-CN"/>
        </w:rPr>
        <w:t>开标</w:t>
      </w:r>
      <w:r>
        <w:rPr>
          <w:rFonts w:hint="eastAsia" w:asciiTheme="minorEastAsia" w:hAnsiTheme="minorEastAsia" w:eastAsiaTheme="minorEastAsia" w:cstheme="minorEastAsia"/>
          <w:b/>
          <w:color w:val="auto"/>
          <w:sz w:val="24"/>
          <w:highlight w:val="none"/>
        </w:rPr>
        <w:t>（竞争性磋商方式必须填写）</w:t>
      </w:r>
    </w:p>
    <w:p>
      <w:pPr>
        <w:spacing w:after="93" w:afterLines="3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时间：</w:t>
      </w:r>
      <w:r>
        <w:rPr>
          <w:rFonts w:hint="eastAsia" w:ascii="宋体" w:hAnsi="宋体" w:eastAsia="宋体" w:cs="宋体"/>
          <w:kern w:val="0"/>
          <w:sz w:val="24"/>
          <w:highlight w:val="none"/>
          <w:lang w:val="en-US" w:eastAsia="zh-CN"/>
        </w:rPr>
        <w:t>2021年12月6日</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分（北京时间）</w:t>
      </w:r>
    </w:p>
    <w:p>
      <w:pPr>
        <w:pStyle w:val="13"/>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b w:val="0"/>
          <w:bCs/>
          <w:color w:val="auto"/>
          <w:sz w:val="24"/>
          <w:highlight w:val="none"/>
          <w:lang w:eastAsia="zh-CN"/>
        </w:rPr>
        <w:t>佛山市禅城区季华五路10号金融广场17层A区之一（广东远东招标代理有限公司佛山分公司 开标室）</w:t>
      </w: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sz w:val="24"/>
          <w:highlight w:val="none"/>
          <w:lang w:eastAsia="zh-CN"/>
        </w:rPr>
        <w:t>六</w:t>
      </w:r>
      <w:r>
        <w:rPr>
          <w:rFonts w:hint="eastAsia" w:asciiTheme="minorEastAsia" w:hAnsiTheme="minorEastAsia" w:eastAsiaTheme="minorEastAsia" w:cstheme="minorEastAsia"/>
          <w:b/>
          <w:color w:val="auto"/>
          <w:sz w:val="24"/>
          <w:highlight w:val="none"/>
        </w:rPr>
        <w:t>、公告期限</w:t>
      </w:r>
      <w:r>
        <w:rPr>
          <w:rFonts w:hint="eastAsia" w:asciiTheme="minorEastAsia" w:hAnsiTheme="minorEastAsia" w:eastAsiaTheme="minorEastAsia" w:cstheme="minorEastAsia"/>
          <w:b/>
          <w:color w:val="auto"/>
          <w:sz w:val="24"/>
          <w:highlight w:val="none"/>
        </w:rPr>
        <w:cr/>
      </w:r>
      <w:r>
        <w:rPr>
          <w:rFonts w:hint="eastAsia" w:asciiTheme="minorEastAsia" w:hAnsiTheme="minorEastAsia" w:eastAsiaTheme="minorEastAsia" w:cstheme="minorEastAsia"/>
          <w:color w:val="auto"/>
          <w:kern w:val="0"/>
          <w:sz w:val="24"/>
          <w:szCs w:val="24"/>
          <w:highlight w:val="none"/>
        </w:rPr>
        <w:t>自本公告发布之日起</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个工作日。</w:t>
      </w:r>
    </w:p>
    <w:p>
      <w:pPr>
        <w:spacing w:line="360" w:lineRule="auto"/>
        <w:rPr>
          <w:rFonts w:ascii="宋体" w:hAnsi="宋体" w:cs="宋体"/>
          <w:b/>
          <w:bCs/>
          <w:sz w:val="24"/>
          <w:highlight w:val="none"/>
        </w:rPr>
      </w:pPr>
      <w:r>
        <w:rPr>
          <w:rFonts w:hint="eastAsia" w:asciiTheme="minorEastAsia" w:hAnsiTheme="minorEastAsia" w:eastAsiaTheme="minorEastAsia" w:cstheme="minorEastAsia"/>
          <w:b/>
          <w:color w:val="auto"/>
          <w:sz w:val="24"/>
          <w:highlight w:val="none"/>
          <w:lang w:eastAsia="zh-CN"/>
        </w:rPr>
        <w:t>七、其他补充事宜</w:t>
      </w:r>
      <w:r>
        <w:rPr>
          <w:rFonts w:hint="eastAsia" w:asciiTheme="minorEastAsia" w:hAnsiTheme="minorEastAsia" w:eastAsiaTheme="minorEastAsia" w:cstheme="minorEastAsia"/>
          <w:b/>
          <w:color w:val="auto"/>
          <w:sz w:val="24"/>
          <w:highlight w:val="none"/>
          <w:lang w:eastAsia="zh-CN"/>
        </w:rPr>
        <w:cr/>
      </w:r>
      <w:r>
        <w:rPr>
          <w:rFonts w:hint="eastAsia" w:ascii="宋体" w:hAnsi="宋体" w:cs="宋体"/>
          <w:bCs/>
          <w:sz w:val="24"/>
          <w:highlight w:val="none"/>
        </w:rPr>
        <w:t>投标人应在获取采购文件时间内按采购代理机构规定方式购买采购文件，才能参与本项目的投标，报名注意事项如下：</w:t>
      </w:r>
    </w:p>
    <w:p>
      <w:pPr>
        <w:spacing w:line="360" w:lineRule="auto"/>
        <w:rPr>
          <w:rFonts w:ascii="宋体" w:hAnsi="宋体" w:cs="宋体"/>
          <w:b/>
          <w:bCs/>
          <w:kern w:val="0"/>
          <w:sz w:val="24"/>
          <w:highlight w:val="none"/>
        </w:rPr>
      </w:pPr>
      <w:r>
        <w:rPr>
          <w:rFonts w:hint="eastAsia" w:ascii="宋体" w:hAnsi="宋体" w:cs="宋体"/>
          <w:b/>
          <w:bCs/>
          <w:kern w:val="0"/>
          <w:sz w:val="24"/>
          <w:highlight w:val="none"/>
          <w:lang w:eastAsia="zh-CN"/>
        </w:rPr>
        <w:t>广东远东招标代理有限公司</w:t>
      </w:r>
      <w:r>
        <w:rPr>
          <w:rFonts w:hint="eastAsia" w:ascii="宋体" w:hAnsi="宋体" w:cs="宋体"/>
          <w:b/>
          <w:bCs/>
          <w:kern w:val="0"/>
          <w:sz w:val="24"/>
          <w:highlight w:val="none"/>
        </w:rPr>
        <w:t>报名流程：</w:t>
      </w:r>
    </w:p>
    <w:p>
      <w:pPr>
        <w:spacing w:line="360" w:lineRule="auto"/>
        <w:ind w:firstLine="540"/>
        <w:rPr>
          <w:rFonts w:ascii="宋体" w:hAnsi="宋体" w:cs="宋体"/>
          <w:kern w:val="0"/>
          <w:sz w:val="24"/>
          <w:highlight w:val="none"/>
        </w:rPr>
      </w:pPr>
      <w:r>
        <w:rPr>
          <w:rFonts w:hint="eastAsia" w:ascii="宋体" w:hAnsi="宋体" w:cs="宋体"/>
          <w:kern w:val="0"/>
          <w:sz w:val="24"/>
          <w:highlight w:val="none"/>
        </w:rPr>
        <w:t>报名时间：</w:t>
      </w:r>
      <w:r>
        <w:rPr>
          <w:rFonts w:hint="eastAsia" w:ascii="宋体" w:hAnsi="宋体" w:cs="宋体"/>
          <w:bCs/>
          <w:color w:val="000000"/>
          <w:sz w:val="24"/>
          <w:szCs w:val="24"/>
          <w:highlight w:val="none"/>
        </w:rPr>
        <w:t>202</w:t>
      </w:r>
      <w:r>
        <w:rPr>
          <w:rFonts w:hint="eastAsia" w:ascii="宋体" w:hAnsi="宋体" w:cs="宋体"/>
          <w:bCs/>
          <w:color w:val="000000"/>
          <w:sz w:val="24"/>
          <w:szCs w:val="24"/>
          <w:highlight w:val="none"/>
          <w:lang w:val="en-US" w:eastAsia="zh-CN"/>
        </w:rPr>
        <w:t>1</w:t>
      </w:r>
      <w:r>
        <w:rPr>
          <w:rFonts w:hint="eastAsia" w:ascii="宋体" w:hAnsi="宋体" w:cs="宋体"/>
          <w:bCs/>
          <w:color w:val="000000"/>
          <w:sz w:val="24"/>
          <w:szCs w:val="24"/>
          <w:highlight w:val="none"/>
        </w:rPr>
        <w:t>年</w:t>
      </w:r>
      <w:r>
        <w:rPr>
          <w:rFonts w:hint="eastAsia" w:ascii="宋体" w:hAnsi="宋体" w:cs="宋体"/>
          <w:bCs/>
          <w:color w:val="000000"/>
          <w:sz w:val="24"/>
          <w:szCs w:val="24"/>
          <w:highlight w:val="none"/>
          <w:lang w:val="en-US" w:eastAsia="zh-CN"/>
        </w:rPr>
        <w:t>11</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lang w:val="en-US" w:eastAsia="zh-CN"/>
        </w:rPr>
        <w:t>25</w:t>
      </w:r>
      <w:r>
        <w:rPr>
          <w:rFonts w:hint="eastAsia" w:ascii="宋体" w:hAnsi="宋体" w:cs="宋体"/>
          <w:bCs/>
          <w:color w:val="000000"/>
          <w:sz w:val="24"/>
          <w:szCs w:val="24"/>
          <w:highlight w:val="none"/>
        </w:rPr>
        <w:t>日至20</w:t>
      </w:r>
      <w:r>
        <w:rPr>
          <w:rFonts w:hint="eastAsia" w:ascii="宋体" w:hAnsi="宋体" w:cs="宋体"/>
          <w:bCs/>
          <w:color w:val="000000"/>
          <w:sz w:val="24"/>
          <w:szCs w:val="24"/>
          <w:highlight w:val="none"/>
          <w:lang w:val="en-US" w:eastAsia="zh-CN"/>
        </w:rPr>
        <w:t>21</w:t>
      </w:r>
      <w:r>
        <w:rPr>
          <w:rFonts w:hint="eastAsia" w:ascii="宋体" w:hAnsi="宋体" w:cs="宋体"/>
          <w:bCs/>
          <w:color w:val="000000"/>
          <w:sz w:val="24"/>
          <w:szCs w:val="24"/>
          <w:highlight w:val="none"/>
        </w:rPr>
        <w:t>年</w:t>
      </w:r>
      <w:r>
        <w:rPr>
          <w:rFonts w:hint="eastAsia" w:ascii="宋体" w:hAnsi="宋体" w:cs="宋体"/>
          <w:bCs/>
          <w:color w:val="000000"/>
          <w:sz w:val="24"/>
          <w:szCs w:val="24"/>
          <w:highlight w:val="none"/>
          <w:lang w:val="en-US" w:eastAsia="zh-CN"/>
        </w:rPr>
        <w:t>12</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lang w:val="en-US" w:eastAsia="zh-CN"/>
        </w:rPr>
        <w:t>1</w:t>
      </w:r>
      <w:r>
        <w:rPr>
          <w:rFonts w:hint="eastAsia" w:ascii="宋体" w:hAnsi="宋体" w:cs="宋体"/>
          <w:bCs/>
          <w:color w:val="000000"/>
          <w:sz w:val="24"/>
          <w:szCs w:val="24"/>
          <w:highlight w:val="none"/>
        </w:rPr>
        <w:t>日</w:t>
      </w:r>
      <w:r>
        <w:rPr>
          <w:rFonts w:hint="eastAsia" w:ascii="宋体" w:hAnsi="宋体" w:cs="宋体"/>
          <w:kern w:val="0"/>
          <w:sz w:val="24"/>
          <w:highlight w:val="none"/>
        </w:rPr>
        <w:t>（招标文件的发售期限自开始之日起不得少于5个工作日），每天上午08:30 至 12:00 ，下午 14:00 至 17:30（北京时间，法定节假日除外 ）</w:t>
      </w:r>
    </w:p>
    <w:p>
      <w:pPr>
        <w:spacing w:after="72" w:afterLines="30"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远东电子交易平台(</w:t>
      </w:r>
      <w:r>
        <w:rPr>
          <w:rFonts w:hint="eastAsia" w:asciiTheme="minorEastAsia" w:hAnsiTheme="minorEastAsia" w:eastAsiaTheme="minorEastAsia" w:cstheme="minorEastAsia"/>
          <w:b/>
          <w:color w:val="000000"/>
          <w:sz w:val="24"/>
          <w:szCs w:val="24"/>
          <w:highlight w:val="none"/>
        </w:rPr>
        <w:fldChar w:fldCharType="begin"/>
      </w:r>
      <w:r>
        <w:rPr>
          <w:rFonts w:hint="eastAsia" w:asciiTheme="minorEastAsia" w:hAnsiTheme="minorEastAsia" w:eastAsiaTheme="minorEastAsia" w:cstheme="minorEastAsia"/>
          <w:b/>
          <w:color w:val="000000"/>
          <w:sz w:val="24"/>
          <w:szCs w:val="24"/>
          <w:highlight w:val="none"/>
        </w:rPr>
        <w:instrText xml:space="preserve"> HYPERLINK "http://www.gdydzb.com/" </w:instrText>
      </w:r>
      <w:r>
        <w:rPr>
          <w:rFonts w:hint="eastAsia" w:asciiTheme="minorEastAsia" w:hAnsiTheme="minorEastAsia" w:eastAsiaTheme="minorEastAsia" w:cstheme="minorEastAsia"/>
          <w:b/>
          <w:color w:val="000000"/>
          <w:sz w:val="24"/>
          <w:szCs w:val="24"/>
          <w:highlight w:val="none"/>
        </w:rPr>
        <w:fldChar w:fldCharType="separate"/>
      </w:r>
      <w:r>
        <w:rPr>
          <w:rStyle w:val="29"/>
          <w:rFonts w:hint="eastAsia" w:asciiTheme="minorEastAsia" w:hAnsiTheme="minorEastAsia" w:eastAsiaTheme="minorEastAsia" w:cstheme="minorEastAsia"/>
          <w:b/>
          <w:color w:val="000000"/>
          <w:sz w:val="24"/>
          <w:szCs w:val="24"/>
          <w:highlight w:val="none"/>
        </w:rPr>
        <w:t>http://www.gdydzb.com/</w:t>
      </w:r>
      <w:r>
        <w:rPr>
          <w:rFonts w:hint="eastAsia" w:asciiTheme="minorEastAsia" w:hAnsiTheme="minorEastAsia" w:eastAsiaTheme="minorEastAsia" w:cstheme="minorEastAsia"/>
          <w:b/>
          <w:color w:val="000000"/>
          <w:sz w:val="24"/>
          <w:szCs w:val="24"/>
          <w:highlight w:val="none"/>
        </w:rPr>
        <w:fldChar w:fldCharType="end"/>
      </w:r>
      <w:r>
        <w:rPr>
          <w:rFonts w:hint="eastAsia" w:asciiTheme="minorEastAsia" w:hAnsiTheme="minorEastAsia" w:eastAsiaTheme="minorEastAsia" w:cstheme="minorEastAsia"/>
          <w:b/>
          <w:color w:val="000000"/>
          <w:sz w:val="24"/>
          <w:szCs w:val="24"/>
          <w:highlight w:val="none"/>
        </w:rPr>
        <w:t>)网上报名获取招标文件流程：</w:t>
      </w:r>
      <w:r>
        <w:rPr>
          <w:rFonts w:hint="eastAsia" w:asciiTheme="minorEastAsia" w:hAnsiTheme="minorEastAsia" w:eastAsiaTheme="minorEastAsia" w:cstheme="minorEastAsia"/>
          <w:color w:val="000000"/>
          <w:sz w:val="24"/>
          <w:szCs w:val="24"/>
          <w:highlight w:val="none"/>
        </w:rPr>
        <w:t>本项目招标文件只在远东电子交易平台在线上发售，供应商在购买采购文件之前，</w:t>
      </w:r>
      <w:r>
        <w:rPr>
          <w:rFonts w:hint="eastAsia" w:asciiTheme="minorEastAsia" w:hAnsiTheme="minorEastAsia" w:eastAsiaTheme="minorEastAsia" w:cstheme="minorEastAsia"/>
          <w:color w:val="000000"/>
          <w:sz w:val="24"/>
          <w:szCs w:val="24"/>
          <w:highlight w:val="none"/>
          <w:lang w:eastAsia="zh-CN"/>
        </w:rPr>
        <w:t>登录</w:t>
      </w:r>
      <w:r>
        <w:rPr>
          <w:rFonts w:hint="eastAsia" w:asciiTheme="minorEastAsia" w:hAnsiTheme="minorEastAsia" w:eastAsiaTheme="minorEastAsia" w:cstheme="minorEastAsia"/>
          <w:color w:val="000000"/>
          <w:sz w:val="24"/>
          <w:szCs w:val="24"/>
          <w:highlight w:val="none"/>
        </w:rPr>
        <w:t>广东远东招标代理有限公司网站（远东电子交易平台</w:t>
      </w: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color w:val="000000"/>
          <w:sz w:val="24"/>
          <w:szCs w:val="24"/>
          <w:highlight w:val="none"/>
        </w:rPr>
        <w:instrText xml:space="preserve"> HYPERLINK "http://gd.bibeinfo.com/" </w:instrText>
      </w:r>
      <w:r>
        <w:rPr>
          <w:rFonts w:hint="eastAsia" w:asciiTheme="minorEastAsia" w:hAnsiTheme="minorEastAsia" w:eastAsiaTheme="minorEastAsia" w:cstheme="minorEastAsia"/>
          <w:color w:val="000000"/>
          <w:sz w:val="24"/>
          <w:szCs w:val="24"/>
          <w:highlight w:val="none"/>
        </w:rPr>
        <w:fldChar w:fldCharType="separate"/>
      </w:r>
      <w:r>
        <w:rPr>
          <w:rStyle w:val="29"/>
          <w:rFonts w:hint="eastAsia" w:asciiTheme="minorEastAsia" w:hAnsiTheme="minorEastAsia" w:eastAsiaTheme="minorEastAsia" w:cstheme="minorEastAsia"/>
          <w:color w:val="000000"/>
          <w:sz w:val="24"/>
          <w:szCs w:val="24"/>
          <w:highlight w:val="none"/>
        </w:rPr>
        <w:t>http://www.gdydzb.com/</w:t>
      </w:r>
      <w:r>
        <w:rPr>
          <w:rFonts w:hint="eastAsia" w:asciiTheme="minorEastAsia" w:hAnsiTheme="minorEastAsia" w:eastAsiaTheme="minorEastAsia" w:cstheme="minorEastAsia"/>
          <w:color w:val="000000"/>
          <w:sz w:val="24"/>
          <w:szCs w:val="24"/>
          <w:highlight w:val="none"/>
        </w:rPr>
        <w:fldChar w:fldCharType="end"/>
      </w:r>
      <w:r>
        <w:rPr>
          <w:rFonts w:hint="eastAsia" w:asciiTheme="minorEastAsia" w:hAnsiTheme="minorEastAsia" w:eastAsiaTheme="minorEastAsia" w:cstheme="minorEastAsia"/>
          <w:color w:val="000000"/>
          <w:sz w:val="24"/>
          <w:szCs w:val="24"/>
          <w:highlight w:val="none"/>
        </w:rPr>
        <w:t>）进行网上注册（已注册请忽略，直接</w:t>
      </w:r>
      <w:r>
        <w:rPr>
          <w:rFonts w:hint="eastAsia" w:asciiTheme="minorEastAsia" w:hAnsiTheme="minorEastAsia" w:eastAsiaTheme="minorEastAsia" w:cstheme="minorEastAsia"/>
          <w:color w:val="000000"/>
          <w:sz w:val="24"/>
          <w:szCs w:val="24"/>
          <w:highlight w:val="none"/>
          <w:lang w:eastAsia="zh-CN"/>
        </w:rPr>
        <w:t>登录</w:t>
      </w:r>
      <w:r>
        <w:rPr>
          <w:rFonts w:hint="eastAsia" w:asciiTheme="minorEastAsia" w:hAnsiTheme="minorEastAsia" w:eastAsiaTheme="minorEastAsia" w:cstheme="minorEastAsia"/>
          <w:color w:val="000000"/>
          <w:sz w:val="24"/>
          <w:szCs w:val="24"/>
          <w:highlight w:val="none"/>
        </w:rPr>
        <w:t>进行报名与购标操作），具体流程操作见网站“下载专区 ——供应商操作手册”，网上注册相应准备资料如下：加盖公章的有效营业执照副本扫描件、法定代表人姓名与身份证号码。</w:t>
      </w:r>
    </w:p>
    <w:p>
      <w:pPr>
        <w:spacing w:after="72" w:afterLines="30" w:line="360" w:lineRule="auto"/>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符合资格的供应商在网上注册成功后方可报名与购买采购文件，购买方式：网上购买，标书款支付方式只接受支付宝付款，不接受现金或其他方式支付。主要操作过程如下：</w:t>
      </w:r>
    </w:p>
    <w:p>
      <w:pPr>
        <w:spacing w:after="72" w:afterLines="30" w:line="360" w:lineRule="auto"/>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1）注册：在远东电子交易平台(</w:t>
      </w: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color w:val="000000"/>
          <w:sz w:val="24"/>
          <w:szCs w:val="24"/>
          <w:highlight w:val="none"/>
        </w:rPr>
        <w:instrText xml:space="preserve"> HYPERLINK "http://gd.bibeinfo.com/" </w:instrText>
      </w:r>
      <w:r>
        <w:rPr>
          <w:rFonts w:hint="eastAsia" w:asciiTheme="minorEastAsia" w:hAnsiTheme="minorEastAsia" w:eastAsiaTheme="minorEastAsia" w:cstheme="minorEastAsia"/>
          <w:color w:val="000000"/>
          <w:sz w:val="24"/>
          <w:szCs w:val="24"/>
          <w:highlight w:val="none"/>
        </w:rPr>
        <w:fldChar w:fldCharType="separate"/>
      </w:r>
      <w:r>
        <w:rPr>
          <w:rStyle w:val="29"/>
          <w:rFonts w:hint="eastAsia" w:asciiTheme="minorEastAsia" w:hAnsiTheme="minorEastAsia" w:eastAsiaTheme="minorEastAsia" w:cstheme="minorEastAsia"/>
          <w:color w:val="000000"/>
          <w:sz w:val="24"/>
          <w:szCs w:val="24"/>
          <w:highlight w:val="none"/>
        </w:rPr>
        <w:t>http://www.gdydzb.com/</w:t>
      </w:r>
      <w:r>
        <w:rPr>
          <w:rFonts w:hint="eastAsia" w:asciiTheme="minorEastAsia" w:hAnsiTheme="minorEastAsia" w:eastAsiaTheme="minorEastAsia" w:cstheme="minorEastAsia"/>
          <w:color w:val="000000"/>
          <w:sz w:val="24"/>
          <w:szCs w:val="24"/>
          <w:highlight w:val="none"/>
        </w:rPr>
        <w:fldChar w:fldCharType="end"/>
      </w:r>
      <w:r>
        <w:rPr>
          <w:rFonts w:hint="eastAsia" w:asciiTheme="minorEastAsia" w:hAnsiTheme="minorEastAsia" w:eastAsiaTheme="minorEastAsia" w:cstheme="minorEastAsia"/>
          <w:color w:val="000000"/>
          <w:sz w:val="24"/>
          <w:szCs w:val="24"/>
          <w:highlight w:val="none"/>
        </w:rPr>
        <w:t>)完成注册（详细可查看下载专区的《供应商操作手册》）；</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2）选择项目：</w:t>
      </w:r>
      <w:r>
        <w:rPr>
          <w:rFonts w:hint="eastAsia" w:asciiTheme="minorEastAsia" w:hAnsiTheme="minorEastAsia" w:eastAsiaTheme="minorEastAsia" w:cstheme="minorEastAsia"/>
          <w:color w:val="000000"/>
          <w:sz w:val="24"/>
          <w:szCs w:val="24"/>
          <w:highlight w:val="none"/>
          <w:lang w:eastAsia="zh-CN"/>
        </w:rPr>
        <w:t>登录</w:t>
      </w:r>
      <w:r>
        <w:rPr>
          <w:rFonts w:hint="eastAsia" w:asciiTheme="minorEastAsia" w:hAnsiTheme="minorEastAsia" w:eastAsiaTheme="minorEastAsia" w:cstheme="minorEastAsia"/>
          <w:color w:val="000000"/>
          <w:sz w:val="24"/>
          <w:szCs w:val="24"/>
          <w:highlight w:val="none"/>
        </w:rPr>
        <w:t>后，在“投标--&gt;查看采购公告(供应商)”中，搜索到需要参与的项目，并选择此项目。</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3）参与确认：选择“登记参与”，选择相应的标段登记资料（请根据供应商资格提交相应的资料扫描件，如有多个请全部压缩成一个文件再上传），提交后请等待审核；</w:t>
      </w:r>
    </w:p>
    <w:p>
      <w:pPr>
        <w:spacing w:after="72" w:afterLines="30" w:line="360" w:lineRule="auto"/>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本项目需提交资料（均须加盖供应商公章）要求为：</w:t>
      </w:r>
      <w:r>
        <w:rPr>
          <w:rFonts w:hint="eastAsia" w:asciiTheme="minorEastAsia" w:hAnsiTheme="minorEastAsia" w:eastAsiaTheme="minorEastAsia" w:cstheme="minorEastAsia"/>
          <w:b/>
          <w:color w:val="000000"/>
          <w:sz w:val="24"/>
          <w:szCs w:val="24"/>
          <w:highlight w:val="none"/>
        </w:rPr>
        <w:t>a.有效的营业执照副本复印件；b.法人代表证明及授权文件。</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4）购买招标文件：在登记资料通过审核后，请在“购标、响应文件--&gt;报名下载招标文件”中选择相应的标段，通过网上支付方式完成支付并下载招标文件。</w:t>
      </w:r>
    </w:p>
    <w:p>
      <w:pPr>
        <w:spacing w:after="72" w:afterLines="30" w:line="360" w:lineRule="auto"/>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有关网上注册、报名相关疑问，可致电：0757-83332528，邮箱：</w:t>
      </w: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color w:val="000000"/>
          <w:sz w:val="24"/>
          <w:szCs w:val="24"/>
          <w:highlight w:val="none"/>
        </w:rPr>
        <w:instrText xml:space="preserve"> HYPERLINK "mailto:zyydfs@126.com" </w:instrText>
      </w:r>
      <w:r>
        <w:rPr>
          <w:rFonts w:hint="eastAsia" w:asciiTheme="minorEastAsia" w:hAnsiTheme="minorEastAsia" w:eastAsiaTheme="minorEastAsia" w:cstheme="minorEastAsia"/>
          <w:color w:val="000000"/>
          <w:sz w:val="24"/>
          <w:szCs w:val="24"/>
          <w:highlight w:val="none"/>
        </w:rPr>
        <w:fldChar w:fldCharType="separate"/>
      </w:r>
      <w:r>
        <w:rPr>
          <w:rFonts w:hint="eastAsia" w:asciiTheme="minorEastAsia" w:hAnsiTheme="minorEastAsia" w:eastAsiaTheme="minorEastAsia" w:cstheme="minorEastAsia"/>
          <w:color w:val="000000"/>
          <w:sz w:val="24"/>
          <w:szCs w:val="24"/>
          <w:highlight w:val="none"/>
        </w:rPr>
        <w:t>zgydfs@126.com</w:t>
      </w:r>
      <w:r>
        <w:rPr>
          <w:rFonts w:hint="eastAsia" w:asciiTheme="minorEastAsia" w:hAnsiTheme="minorEastAsia" w:eastAsiaTheme="minorEastAsia" w:cstheme="minorEastAsia"/>
          <w:color w:val="000000"/>
          <w:sz w:val="24"/>
          <w:szCs w:val="24"/>
          <w:highlight w:val="none"/>
        </w:rPr>
        <w:fldChar w:fldCharType="end"/>
      </w:r>
    </w:p>
    <w:p>
      <w:pPr>
        <w:spacing w:after="72" w:afterLines="30" w:line="360" w:lineRule="auto"/>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5)无法进行网上报名：可携带（a.有效的营业执照副本复印件；b.法人代表证明及授权文件。）到佛山市禅城区季华五路10号金融广场17层A区进行现场报名。</w:t>
      </w:r>
    </w:p>
    <w:p>
      <w:pPr>
        <w:spacing w:after="72" w:afterLines="30"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八</w:t>
      </w:r>
      <w:r>
        <w:rPr>
          <w:rFonts w:hint="eastAsia" w:asciiTheme="minorEastAsia" w:hAnsiTheme="minorEastAsia" w:eastAsiaTheme="minorEastAsia" w:cstheme="minorEastAsia"/>
          <w:b/>
          <w:color w:val="auto"/>
          <w:sz w:val="24"/>
          <w:highlight w:val="none"/>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仿宋" w:hAnsi="仿宋" w:eastAsia="仿宋" w:cs="Times New Roman"/>
          <w:bCs/>
          <w:spacing w:val="10"/>
          <w:kern w:val="0"/>
          <w:sz w:val="28"/>
          <w:szCs w:val="28"/>
          <w:highlight w:val="none"/>
          <w:lang w:val="en-US" w:eastAsia="zh-CN" w:bidi="ar-SA"/>
        </w:rPr>
      </w:pPr>
      <w:r>
        <w:rPr>
          <w:rFonts w:hint="eastAsia" w:asciiTheme="minorEastAsia" w:hAnsiTheme="minorEastAsia" w:eastAsiaTheme="minorEastAsia" w:cstheme="minorEastAsia"/>
          <w:color w:val="auto"/>
          <w:sz w:val="24"/>
          <w:highlight w:val="none"/>
        </w:rPr>
        <w:t>1.采购人信息</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佛山市消防救援支队</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lang w:eastAsia="zh-CN"/>
        </w:rPr>
        <w:t>广东省-佛山市-顺德区-华阳路与裕和路交叉口北150米消防救援支队指挥中心</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联</w:t>
      </w:r>
      <w:r>
        <w:rPr>
          <w:rFonts w:hint="eastAsia" w:asciiTheme="minorEastAsia" w:hAnsiTheme="minorEastAsia" w:eastAsiaTheme="minorEastAsia" w:cstheme="minorEastAsia"/>
          <w:color w:val="auto"/>
          <w:sz w:val="24"/>
          <w:highlight w:val="none"/>
          <w:lang w:eastAsia="zh-CN"/>
        </w:rPr>
        <w:t>系方式：0757-85511055</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2.采购代理机构信息</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广东远东招标代理有限公司</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highlight w:val="none"/>
        </w:rPr>
        <w:t>广州市越秀区越秀北路222号越良大厦六楼</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eastAsia="zh-CN"/>
        </w:rPr>
        <w:t>0757-83332528</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项目联系方式</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何</w:t>
      </w:r>
      <w:r>
        <w:rPr>
          <w:rFonts w:hint="eastAsia" w:asciiTheme="minorEastAsia" w:hAnsiTheme="minorEastAsia" w:eastAsiaTheme="minorEastAsia" w:cstheme="minorEastAsia"/>
          <w:color w:val="auto"/>
          <w:sz w:val="24"/>
          <w:highlight w:val="none"/>
          <w:lang w:eastAsia="zh-CN"/>
        </w:rPr>
        <w:t>先生</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lang w:eastAsia="zh-CN"/>
        </w:rPr>
        <w:t>0757-83332528</w:t>
      </w:r>
    </w:p>
    <w:p>
      <w:pPr>
        <w:keepNext w:val="0"/>
        <w:keepLines w:val="0"/>
        <w:pageBreakBefore w:val="0"/>
        <w:widowControl w:val="0"/>
        <w:kinsoku/>
        <w:wordWrap/>
        <w:overflowPunct/>
        <w:topLinePunct w:val="0"/>
        <w:bidi w:val="0"/>
        <w:adjustRightInd/>
        <w:spacing w:line="336" w:lineRule="auto"/>
        <w:jc w:val="lef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九</w:t>
      </w:r>
      <w:r>
        <w:rPr>
          <w:rFonts w:hint="eastAsia" w:asciiTheme="minorEastAsia" w:hAnsiTheme="minorEastAsia" w:eastAsiaTheme="minorEastAsia" w:cstheme="minorEastAsia"/>
          <w:b/>
          <w:color w:val="auto"/>
          <w:sz w:val="24"/>
          <w:highlight w:val="none"/>
        </w:rPr>
        <w:t>、发布</w:t>
      </w:r>
      <w:r>
        <w:rPr>
          <w:rFonts w:hint="eastAsia" w:asciiTheme="minorEastAsia" w:hAnsiTheme="minorEastAsia" w:eastAsiaTheme="minorEastAsia" w:cstheme="minorEastAsia"/>
          <w:b/>
          <w:color w:val="auto"/>
          <w:sz w:val="24"/>
          <w:highlight w:val="none"/>
          <w:lang w:val="en-US" w:eastAsia="zh-CN"/>
        </w:rPr>
        <w:t>媒体</w:t>
      </w:r>
    </w:p>
    <w:p>
      <w:pPr>
        <w:pStyle w:val="16"/>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heme="minorEastAsia" w:hAnsiTheme="minorEastAsia" w:eastAsiaTheme="minorEastAsia" w:cstheme="minorEastAsia"/>
          <w:color w:val="auto"/>
          <w:kern w:val="2"/>
          <w:sz w:val="24"/>
          <w:szCs w:val="24"/>
          <w:highlight w:val="none"/>
          <w:lang w:val="en-US" w:eastAsia="zh-CN" w:bidi="ar-SA"/>
        </w:rPr>
        <w:sectPr>
          <w:pgSz w:w="11906" w:h="16838"/>
          <w:pgMar w:top="1440" w:right="1080" w:bottom="1440" w:left="1080" w:header="567" w:footer="737" w:gutter="0"/>
          <w:pgNumType w:fmt="decimal"/>
          <w:cols w:space="720" w:num="1"/>
          <w:docGrid w:linePitch="312" w:charSpace="0"/>
        </w:sectPr>
      </w:pPr>
      <w:r>
        <w:rPr>
          <w:rFonts w:hint="eastAsia" w:asciiTheme="minorEastAsia" w:hAnsiTheme="minorEastAsia" w:eastAsiaTheme="minorEastAsia" w:cstheme="minorEastAsia"/>
          <w:color w:val="auto"/>
          <w:kern w:val="2"/>
          <w:sz w:val="24"/>
          <w:szCs w:val="24"/>
          <w:highlight w:val="none"/>
          <w:lang w:val="en-US" w:eastAsia="zh-CN" w:bidi="ar-SA"/>
        </w:rPr>
        <w:t>广东远东招标招标代理有限公司网（(http://www.gdydzb.com/)）</w:t>
      </w:r>
    </w:p>
    <w:p>
      <w:pPr>
        <w:pStyle w:val="7"/>
        <w:pageBreakBefore/>
        <w:spacing w:line="480" w:lineRule="auto"/>
        <w:ind w:left="0" w:firstLine="0"/>
        <w:rPr>
          <w:rFonts w:hint="eastAsia" w:asciiTheme="minorEastAsia" w:hAnsiTheme="minorEastAsia" w:eastAsiaTheme="minorEastAsia" w:cstheme="minorEastAsia"/>
          <w:b w:val="0"/>
          <w:bCs/>
          <w:color w:val="auto"/>
          <w:highlight w:val="none"/>
        </w:rPr>
        <w:sectPr>
          <w:headerReference r:id="rId10" w:type="default"/>
          <w:footerReference r:id="rId11" w:type="default"/>
          <w:pgSz w:w="11906" w:h="16838"/>
          <w:pgMar w:top="1440" w:right="1083" w:bottom="1440" w:left="1083" w:header="567" w:footer="737" w:gutter="0"/>
          <w:pgNumType w:fmt="decimal"/>
          <w:cols w:space="720" w:num="1"/>
          <w:docGrid w:linePitch="312" w:charSpace="0"/>
        </w:sectPr>
      </w:pPr>
      <w:bookmarkStart w:id="33" w:name="_Toc25824"/>
      <w:r>
        <w:rPr>
          <w:rFonts w:hint="eastAsia" w:asciiTheme="minorEastAsia" w:hAnsiTheme="minorEastAsia" w:eastAsiaTheme="minorEastAsia" w:cstheme="minorEastAsia"/>
          <w:b w:val="0"/>
          <w:bCs/>
          <w:color w:val="auto"/>
          <w:highlight w:val="none"/>
        </w:rPr>
        <w:t>第二部分   采购项目</w:t>
      </w:r>
      <w:bookmarkEnd w:id="18"/>
      <w:bookmarkEnd w:id="19"/>
      <w:r>
        <w:rPr>
          <w:rFonts w:hint="eastAsia" w:asciiTheme="minorEastAsia" w:hAnsiTheme="minorEastAsia" w:eastAsiaTheme="minorEastAsia" w:cstheme="minorEastAsia"/>
          <w:b w:val="0"/>
          <w:bCs/>
          <w:color w:val="auto"/>
          <w:highlight w:val="none"/>
        </w:rPr>
        <w:t>内容</w:t>
      </w:r>
      <w:bookmarkEnd w:id="20"/>
      <w:bookmarkEnd w:id="21"/>
      <w:bookmarkEnd w:id="22"/>
      <w:bookmarkEnd w:id="23"/>
      <w:bookmarkEnd w:id="24"/>
      <w:bookmarkEnd w:id="25"/>
      <w:bookmarkEnd w:id="26"/>
      <w:bookmarkEnd w:id="27"/>
      <w:bookmarkEnd w:id="28"/>
      <w:bookmarkEnd w:id="29"/>
      <w:bookmarkEnd w:id="30"/>
      <w:bookmarkEnd w:id="31"/>
      <w:bookmarkEnd w:id="33"/>
    </w:p>
    <w:p>
      <w:pPr>
        <w:pStyle w:val="8"/>
        <w:numPr>
          <w:ilvl w:val="1"/>
          <w:numId w:val="2"/>
        </w:numPr>
        <w:rPr>
          <w:rFonts w:hint="eastAsia" w:asciiTheme="minorEastAsia" w:hAnsiTheme="minorEastAsia" w:eastAsiaTheme="minorEastAsia" w:cstheme="minorEastAsia"/>
          <w:color w:val="auto"/>
          <w:sz w:val="32"/>
          <w:highlight w:val="none"/>
        </w:rPr>
      </w:pPr>
      <w:bookmarkStart w:id="34" w:name="_Toc29575"/>
      <w:bookmarkStart w:id="35" w:name="_Toc4019"/>
      <w:bookmarkStart w:id="36" w:name="_Toc13986"/>
      <w:bookmarkStart w:id="37" w:name="_Toc310519877"/>
      <w:bookmarkStart w:id="38" w:name="_Toc24862"/>
      <w:bookmarkStart w:id="39" w:name="_Toc373767190"/>
      <w:bookmarkStart w:id="40" w:name="_Toc325031933"/>
      <w:bookmarkStart w:id="41" w:name="_Toc259803660"/>
      <w:bookmarkStart w:id="42" w:name="_Toc49329251"/>
      <w:bookmarkStart w:id="43" w:name="_Toc419106554"/>
      <w:bookmarkStart w:id="44" w:name="_Toc113157420"/>
      <w:r>
        <w:rPr>
          <w:rFonts w:hint="eastAsia" w:asciiTheme="minorEastAsia" w:hAnsiTheme="minorEastAsia" w:eastAsiaTheme="minorEastAsia" w:cstheme="minorEastAsia"/>
          <w:color w:val="auto"/>
          <w:sz w:val="32"/>
          <w:highlight w:val="none"/>
        </w:rPr>
        <w:fldChar w:fldCharType="begin"/>
      </w:r>
      <w:r>
        <w:rPr>
          <w:rFonts w:hint="eastAsia" w:asciiTheme="minorEastAsia" w:hAnsiTheme="minorEastAsia" w:eastAsiaTheme="minorEastAsia" w:cstheme="minorEastAsia"/>
          <w:color w:val="auto"/>
          <w:sz w:val="32"/>
          <w:highlight w:val="none"/>
        </w:rPr>
        <w:instrText xml:space="preserve">DOCVARIABLE  技术要求开始  \* MERGEFORMAT</w:instrText>
      </w:r>
      <w:r>
        <w:rPr>
          <w:rFonts w:hint="eastAsia" w:asciiTheme="minorEastAsia" w:hAnsiTheme="minorEastAsia" w:eastAsiaTheme="minorEastAsia" w:cstheme="minorEastAsia"/>
          <w:color w:val="auto"/>
          <w:sz w:val="32"/>
          <w:highlight w:val="none"/>
        </w:rPr>
        <w:fldChar w:fldCharType="separate"/>
      </w:r>
      <w:r>
        <w:rPr>
          <w:rFonts w:hint="eastAsia" w:asciiTheme="minorEastAsia" w:hAnsiTheme="minorEastAsia" w:eastAsiaTheme="minorEastAsia" w:cstheme="minorEastAsia"/>
          <w:color w:val="auto"/>
          <w:sz w:val="32"/>
          <w:highlight w:val="none"/>
        </w:rPr>
        <w:fldChar w:fldCharType="end"/>
      </w:r>
      <w:bookmarkStart w:id="45" w:name="_Toc525311883"/>
      <w:r>
        <w:rPr>
          <w:rFonts w:hint="eastAsia" w:asciiTheme="minorEastAsia" w:hAnsiTheme="minorEastAsia" w:eastAsiaTheme="minorEastAsia" w:cstheme="minorEastAsia"/>
          <w:color w:val="auto"/>
          <w:sz w:val="32"/>
          <w:highlight w:val="none"/>
        </w:rPr>
        <w:t>采购项目技术要求</w:t>
      </w:r>
      <w:bookmarkEnd w:id="34"/>
      <w:bookmarkEnd w:id="35"/>
      <w:bookmarkEnd w:id="36"/>
      <w:bookmarkEnd w:id="45"/>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项目概述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项目名称：</w:t>
      </w:r>
      <w:r>
        <w:rPr>
          <w:rFonts w:hint="eastAsia" w:asciiTheme="minorEastAsia" w:hAnsiTheme="minorEastAsia" w:eastAsiaTheme="minorEastAsia" w:cstheme="minorEastAsia"/>
          <w:b w:val="0"/>
          <w:bCs w:val="0"/>
          <w:color w:val="auto"/>
          <w:sz w:val="24"/>
          <w:szCs w:val="24"/>
          <w:highlight w:val="none"/>
          <w:u w:val="single"/>
          <w:lang w:val="en-US" w:eastAsia="zh-CN"/>
        </w:rPr>
        <w:t>2021年省、市在佛山挂牌的火灾高风险区域整治工作实地检查评估项目</w:t>
      </w:r>
    </w:p>
    <w:p>
      <w:pPr>
        <w:pStyle w:val="42"/>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项目预算：</w:t>
      </w:r>
      <w:r>
        <w:rPr>
          <w:rFonts w:hint="eastAsia" w:asciiTheme="minorEastAsia" w:hAnsiTheme="minorEastAsia" w:eastAsiaTheme="minorEastAsia" w:cstheme="minorEastAsia"/>
          <w:b w:val="0"/>
          <w:bCs w:val="0"/>
          <w:color w:val="auto"/>
          <w:sz w:val="24"/>
          <w:szCs w:val="24"/>
          <w:highlight w:val="none"/>
          <w:u w:val="single"/>
          <w:lang w:val="en-US" w:eastAsia="zh-CN"/>
        </w:rPr>
        <w:t>990,000.000</w:t>
      </w:r>
      <w:r>
        <w:rPr>
          <w:rFonts w:hint="eastAsia" w:asciiTheme="minorEastAsia" w:hAnsiTheme="minorEastAsia" w:eastAsiaTheme="minorEastAsia" w:cstheme="minorEastAsia"/>
          <w:b w:val="0"/>
          <w:bCs w:val="0"/>
          <w:color w:val="auto"/>
          <w:sz w:val="24"/>
          <w:szCs w:val="24"/>
          <w:highlight w:val="none"/>
          <w:lang w:val="en-US" w:eastAsia="zh-CN"/>
        </w:rPr>
        <w:t>元</w:t>
      </w:r>
    </w:p>
    <w:p>
      <w:pPr>
        <w:pStyle w:val="4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合同履行期限</w:t>
      </w:r>
      <w:r>
        <w:rPr>
          <w:rFonts w:hint="eastAsia" w:asciiTheme="minorEastAsia" w:hAnsiTheme="minorEastAsia" w:eastAsiaTheme="minorEastAsia" w:cstheme="minorEastAsia"/>
          <w:b w:val="0"/>
          <w:bCs w:val="0"/>
          <w:color w:val="auto"/>
          <w:kern w:val="2"/>
          <w:sz w:val="24"/>
          <w:szCs w:val="24"/>
          <w:highlight w:val="none"/>
          <w:lang w:val="en-US" w:eastAsia="zh-CN" w:bidi="ar-SA"/>
        </w:rPr>
        <w:t>：</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2021年12月25日完成所有评估数据汇总和检查、分析评估、资料整编、评估验收报告编写。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1.2、项目介绍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广东省人民政府办公厅关于公布第十二批火灾隐患重点地区及重大火灾隐患单位整治工作验收结果和挂牌督办第十三批火灾隐患重点地区及重大火灾隐患单位的通知》粤办函〔2021〕76号、《佛山市人民政府办公室关于开展市政府第十二批挂牌督办火灾高风险区域及重大火灾隐患单位整治工作的通知》佛府办函〔2021〕45 号、《中华人民共和国消防法》、《国务院办公厅关于印发消防安全责任制实施办法的通知》《广东省火灾高风险区域和重大火灾隐患单位整治挂牌督办实施办法（试行）》等法律法规规定，为切实加强区域性火灾隐患整治工作，大力加强公共消防设施建设，不断提升社会火灾防控水平，坚决预防和遏制重特大火灾事故，为做好2021年佛山市火灾高风险区域整治验收工作，我单位</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b w:val="0"/>
          <w:bCs/>
          <w:kern w:val="0"/>
          <w:sz w:val="24"/>
          <w:szCs w:val="24"/>
          <w:highlight w:val="none"/>
          <w:lang w:val="en-US" w:eastAsia="zh-CN" w:bidi="ar-SA"/>
        </w:rPr>
        <w:t>委托第三方消防技术服务机构派驻专家和技术人员对下述场所进行实地检查评估验收。</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kern w:val="0"/>
          <w:sz w:val="24"/>
          <w:szCs w:val="24"/>
          <w:highlight w:val="none"/>
          <w:lang w:val="en-US" w:eastAsia="zh-CN" w:bidi="ar-SA"/>
        </w:rPr>
        <w:t>成交供应商需对佛山市火灾高风险区域范围内的</w:t>
      </w:r>
      <w:r>
        <w:rPr>
          <w:rFonts w:hint="eastAsia" w:asciiTheme="minorEastAsia" w:hAnsiTheme="minorEastAsia" w:eastAsiaTheme="minorEastAsia" w:cstheme="minorEastAsia"/>
          <w:color w:val="auto"/>
          <w:sz w:val="24"/>
          <w:szCs w:val="24"/>
          <w:highlight w:val="none"/>
          <w:lang w:val="en-US" w:eastAsia="zh-CN"/>
        </w:rPr>
        <w:t>18457家</w:t>
      </w:r>
      <w:r>
        <w:rPr>
          <w:rFonts w:hint="eastAsia" w:asciiTheme="minorEastAsia" w:hAnsiTheme="minorEastAsia" w:eastAsiaTheme="minorEastAsia" w:cstheme="minorEastAsia"/>
          <w:b w:val="0"/>
          <w:bCs/>
          <w:kern w:val="0"/>
          <w:sz w:val="24"/>
          <w:szCs w:val="24"/>
          <w:highlight w:val="none"/>
          <w:lang w:val="en-US" w:eastAsia="zh-CN" w:bidi="ar-SA"/>
        </w:rPr>
        <w:t>三小场所、</w:t>
      </w:r>
      <w:r>
        <w:rPr>
          <w:rFonts w:hint="eastAsia" w:asciiTheme="minorEastAsia" w:hAnsiTheme="minorEastAsia" w:eastAsiaTheme="minorEastAsia" w:cstheme="minorEastAsia"/>
          <w:color w:val="auto"/>
          <w:sz w:val="24"/>
          <w:szCs w:val="24"/>
          <w:highlight w:val="none"/>
          <w:lang w:val="en-US" w:eastAsia="zh-CN"/>
        </w:rPr>
        <w:t>15385家</w:t>
      </w:r>
      <w:r>
        <w:rPr>
          <w:rFonts w:hint="eastAsia" w:asciiTheme="minorEastAsia" w:hAnsiTheme="minorEastAsia" w:eastAsiaTheme="minorEastAsia" w:cstheme="minorEastAsia"/>
          <w:b w:val="0"/>
          <w:bCs/>
          <w:kern w:val="0"/>
          <w:sz w:val="24"/>
          <w:szCs w:val="24"/>
          <w:highlight w:val="none"/>
          <w:lang w:val="en-US" w:eastAsia="zh-CN" w:bidi="ar-SA"/>
        </w:rPr>
        <w:t>出租屋、</w:t>
      </w:r>
      <w:r>
        <w:rPr>
          <w:rFonts w:hint="eastAsia" w:asciiTheme="minorEastAsia" w:hAnsiTheme="minorEastAsia" w:eastAsiaTheme="minorEastAsia" w:cstheme="minorEastAsia"/>
          <w:color w:val="auto"/>
          <w:sz w:val="24"/>
          <w:szCs w:val="24"/>
          <w:highlight w:val="none"/>
          <w:lang w:val="en-US" w:eastAsia="zh-CN"/>
        </w:rPr>
        <w:t>504家</w:t>
      </w:r>
      <w:r>
        <w:rPr>
          <w:rFonts w:hint="eastAsia" w:asciiTheme="minorEastAsia" w:hAnsiTheme="minorEastAsia" w:eastAsiaTheme="minorEastAsia" w:cstheme="minorEastAsia"/>
          <w:b w:val="0"/>
          <w:bCs/>
          <w:kern w:val="0"/>
          <w:sz w:val="24"/>
          <w:szCs w:val="24"/>
          <w:highlight w:val="none"/>
          <w:lang w:val="en-US" w:eastAsia="zh-CN" w:bidi="ar-SA"/>
        </w:rPr>
        <w:t>公共场所、</w:t>
      </w:r>
      <w:r>
        <w:rPr>
          <w:rFonts w:hint="eastAsia" w:asciiTheme="minorEastAsia" w:hAnsiTheme="minorEastAsia" w:eastAsiaTheme="minorEastAsia" w:cstheme="minorEastAsia"/>
          <w:color w:val="auto"/>
          <w:sz w:val="24"/>
          <w:szCs w:val="24"/>
          <w:highlight w:val="none"/>
          <w:lang w:val="en-US" w:eastAsia="zh-CN"/>
        </w:rPr>
        <w:t>4044家</w:t>
      </w:r>
      <w:r>
        <w:rPr>
          <w:rFonts w:hint="eastAsia" w:asciiTheme="minorEastAsia" w:hAnsiTheme="minorEastAsia" w:eastAsiaTheme="minorEastAsia" w:cstheme="minorEastAsia"/>
          <w:b w:val="0"/>
          <w:bCs/>
          <w:kern w:val="0"/>
          <w:sz w:val="24"/>
          <w:szCs w:val="24"/>
          <w:highlight w:val="none"/>
          <w:lang w:val="en-US" w:eastAsia="zh-CN" w:bidi="ar-SA"/>
        </w:rPr>
        <w:t>工业场所、</w:t>
      </w:r>
      <w:r>
        <w:rPr>
          <w:rFonts w:hint="eastAsia" w:asciiTheme="minorEastAsia" w:hAnsiTheme="minorEastAsia" w:eastAsiaTheme="minorEastAsia" w:cstheme="minorEastAsia"/>
          <w:color w:val="auto"/>
          <w:sz w:val="24"/>
          <w:szCs w:val="24"/>
          <w:highlight w:val="none"/>
          <w:lang w:val="en-US" w:eastAsia="zh-CN"/>
        </w:rPr>
        <w:t>99个村（居）及1582个市政消火栓的火灾隐患整治情况，</w:t>
      </w:r>
      <w:r>
        <w:rPr>
          <w:rFonts w:hint="eastAsia" w:asciiTheme="minorEastAsia" w:hAnsiTheme="minorEastAsia" w:eastAsiaTheme="minorEastAsia" w:cstheme="minorEastAsia"/>
          <w:b w:val="0"/>
          <w:bCs/>
          <w:kern w:val="0"/>
          <w:sz w:val="24"/>
          <w:szCs w:val="24"/>
          <w:highlight w:val="none"/>
          <w:lang w:val="en-US" w:eastAsia="zh-CN" w:bidi="ar-SA"/>
        </w:rPr>
        <w:t>按照《佛山市第十二批火灾隐患重点地区整治工作验收标准》</w:t>
      </w:r>
      <w:r>
        <w:rPr>
          <w:rFonts w:hint="eastAsia" w:asciiTheme="minorEastAsia" w:hAnsiTheme="minorEastAsia" w:eastAsiaTheme="minorEastAsia" w:cstheme="minorEastAsia"/>
          <w:color w:val="auto"/>
          <w:sz w:val="24"/>
          <w:szCs w:val="24"/>
          <w:highlight w:val="none"/>
          <w:lang w:val="en-US" w:eastAsia="zh-CN"/>
        </w:rPr>
        <w:t>进行实地检查评估，对多种形式消防队伍建设、消防安全家园建设、群众安全常识知晓率、消防工作满意度、整治工作资料等情况进行检查验收，</w:t>
      </w:r>
      <w:r>
        <w:rPr>
          <w:rFonts w:hint="eastAsia" w:asciiTheme="minorEastAsia" w:hAnsiTheme="minorEastAsia" w:eastAsiaTheme="minorEastAsia" w:cstheme="minorEastAsia"/>
          <w:b w:val="0"/>
          <w:bCs/>
          <w:kern w:val="0"/>
          <w:sz w:val="24"/>
          <w:szCs w:val="24"/>
          <w:highlight w:val="none"/>
          <w:lang w:val="en-US" w:eastAsia="zh-CN" w:bidi="ar-SA"/>
        </w:rPr>
        <w:t>并根据验收结果进行分析汇总，编制出具验收评估报告。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（1）各类场所的实地评估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分别对辖区范围内18457家</w:t>
      </w:r>
      <w:r>
        <w:rPr>
          <w:rFonts w:hint="eastAsia" w:asciiTheme="minorEastAsia" w:hAnsiTheme="minorEastAsia" w:eastAsiaTheme="minorEastAsia" w:cstheme="minorEastAsia"/>
          <w:b w:val="0"/>
          <w:bCs/>
          <w:kern w:val="0"/>
          <w:sz w:val="24"/>
          <w:szCs w:val="24"/>
          <w:highlight w:val="none"/>
          <w:lang w:val="en-US" w:eastAsia="zh-CN" w:bidi="ar-SA"/>
        </w:rPr>
        <w:t>三小场所、</w:t>
      </w:r>
      <w:r>
        <w:rPr>
          <w:rFonts w:hint="eastAsia" w:asciiTheme="minorEastAsia" w:hAnsiTheme="minorEastAsia" w:eastAsiaTheme="minorEastAsia" w:cstheme="minorEastAsia"/>
          <w:color w:val="auto"/>
          <w:sz w:val="24"/>
          <w:szCs w:val="24"/>
          <w:highlight w:val="none"/>
          <w:lang w:val="en-US" w:eastAsia="zh-CN"/>
        </w:rPr>
        <w:t>15385家</w:t>
      </w:r>
      <w:r>
        <w:rPr>
          <w:rFonts w:hint="eastAsia" w:asciiTheme="minorEastAsia" w:hAnsiTheme="minorEastAsia" w:eastAsiaTheme="minorEastAsia" w:cstheme="minorEastAsia"/>
          <w:b w:val="0"/>
          <w:bCs/>
          <w:kern w:val="0"/>
          <w:sz w:val="24"/>
          <w:szCs w:val="24"/>
          <w:highlight w:val="none"/>
          <w:lang w:val="en-US" w:eastAsia="zh-CN" w:bidi="ar-SA"/>
        </w:rPr>
        <w:t>出租屋、</w:t>
      </w:r>
      <w:r>
        <w:rPr>
          <w:rFonts w:hint="eastAsia" w:asciiTheme="minorEastAsia" w:hAnsiTheme="minorEastAsia" w:eastAsiaTheme="minorEastAsia" w:cstheme="minorEastAsia"/>
          <w:color w:val="auto"/>
          <w:sz w:val="24"/>
          <w:szCs w:val="24"/>
          <w:highlight w:val="none"/>
          <w:lang w:val="en-US" w:eastAsia="zh-CN"/>
        </w:rPr>
        <w:t>504家</w:t>
      </w:r>
      <w:r>
        <w:rPr>
          <w:rFonts w:hint="eastAsia" w:asciiTheme="minorEastAsia" w:hAnsiTheme="minorEastAsia" w:eastAsiaTheme="minorEastAsia" w:cstheme="minorEastAsia"/>
          <w:b w:val="0"/>
          <w:bCs/>
          <w:kern w:val="0"/>
          <w:sz w:val="24"/>
          <w:szCs w:val="24"/>
          <w:highlight w:val="none"/>
          <w:lang w:val="en-US" w:eastAsia="zh-CN" w:bidi="ar-SA"/>
        </w:rPr>
        <w:t>公共场所、</w:t>
      </w:r>
      <w:r>
        <w:rPr>
          <w:rFonts w:hint="eastAsia" w:asciiTheme="minorEastAsia" w:hAnsiTheme="minorEastAsia" w:eastAsiaTheme="minorEastAsia" w:cstheme="minorEastAsia"/>
          <w:color w:val="auto"/>
          <w:sz w:val="24"/>
          <w:szCs w:val="24"/>
          <w:highlight w:val="none"/>
          <w:lang w:val="en-US" w:eastAsia="zh-CN"/>
        </w:rPr>
        <w:t>4044家</w:t>
      </w:r>
      <w:r>
        <w:rPr>
          <w:rFonts w:hint="eastAsia" w:asciiTheme="minorEastAsia" w:hAnsiTheme="minorEastAsia" w:eastAsiaTheme="minorEastAsia" w:cstheme="minorEastAsia"/>
          <w:b w:val="0"/>
          <w:bCs/>
          <w:kern w:val="0"/>
          <w:sz w:val="24"/>
          <w:szCs w:val="24"/>
          <w:highlight w:val="none"/>
          <w:lang w:val="en-US" w:eastAsia="zh-CN" w:bidi="ar-SA"/>
        </w:rPr>
        <w:t>工业场所、</w:t>
      </w:r>
      <w:r>
        <w:rPr>
          <w:rFonts w:hint="eastAsia" w:asciiTheme="minorEastAsia" w:hAnsiTheme="minorEastAsia" w:eastAsiaTheme="minorEastAsia" w:cstheme="minorEastAsia"/>
          <w:color w:val="auto"/>
          <w:sz w:val="24"/>
          <w:szCs w:val="24"/>
          <w:highlight w:val="none"/>
          <w:lang w:val="en-US" w:eastAsia="zh-CN"/>
        </w:rPr>
        <w:t>99个村（居）及1582个市政消火栓按照佛山市第十二批重点地区火灾隐患整治验收标准的要求进行实地评估。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1）逐家上门，上门评估人员每组不得少于两人同行；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2）对发现的火灾隐患进行现场记录和评估打分；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3）提供数据统计表，统计表应能反映出各类场所的得分情况；</w:t>
      </w:r>
    </w:p>
    <w:p>
      <w:pPr>
        <w:pStyle w:val="4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根据对市政消火栓建设、消防安全网格化建设、多种形式队伍建设、消防安全家园建设、群众安全常识知晓率、消防工作满意度、整治工作资料等情况进行实地评估打分，整理存在的主要问题，列明主要场所检查项扣分分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（3）编制评估报告</w:t>
      </w:r>
    </w:p>
    <w:p>
      <w:pPr>
        <w:pStyle w:val="10"/>
        <w:spacing w:line="360" w:lineRule="auto"/>
        <w:ind w:left="0" w:leftChars="0" w:right="-92" w:rightChars="-44"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对检查结果进行打分，完成所有评估数据汇总，整理实地检查结果及得分情况、存在的主要问题、主要场所检查项扣分分布等，编制《火灾隐患重点地区专项整治第三方验收报告》。</w:t>
      </w:r>
    </w:p>
    <w:p>
      <w:pPr>
        <w:pStyle w:val="23"/>
        <w:spacing w:line="360" w:lineRule="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1.4、总体需求</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kern w:val="0"/>
          <w:sz w:val="24"/>
          <w:szCs w:val="24"/>
          <w:highlight w:val="none"/>
          <w:lang w:val="en-US" w:eastAsia="zh-CN" w:bidi="ar-SA"/>
        </w:rPr>
        <w:t>按照《佛山市第十二批火灾隐患重点地区整治工作验收标准》进行</w:t>
      </w:r>
      <w:r>
        <w:rPr>
          <w:rFonts w:hint="eastAsia" w:asciiTheme="minorEastAsia" w:hAnsiTheme="minorEastAsia" w:eastAsiaTheme="minorEastAsia" w:cstheme="minorEastAsia"/>
          <w:color w:val="auto"/>
          <w:sz w:val="24"/>
          <w:szCs w:val="24"/>
          <w:highlight w:val="none"/>
          <w:lang w:val="en-US" w:eastAsia="zh-CN"/>
        </w:rPr>
        <w:t>进行实地检查评估。</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经汇总查阅资料和实地检查评估情况计算验收总得分，并按以下标准对验收结果进行判定：</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（一）验收总得分在80分（含）以上的，直接判定为合格，予以摘牌。</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（二）验收总得分在70分（含）以上、80分以下的，由第三方消防技术服务机构在一个月后对存在问题进行复验，复验后总得分在90分（含）以上的，予以摘牌销案；复验后总得分在90分以下的，不予摘牌销案。</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（三）有以下情形之一者，直接判定为验收不合格，不予摘牌销案：</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1、验收总得分在70分以下的；</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2、年内发生较大以上亡人火灾的；</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3、实地检查发现超过总数2%的“三小”场所存在违规住人或“三合一”现象的；</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4、实地检查发现3家企业单位存在重大火灾隐患未被发现或未进行查处的；</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5、实地检查发现市政消火栓缺建率达到10%（含）以上的；</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6、应建未建政府专职消防队的。</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（四）确定予以摘牌销案的地区（含复验通过的地区），验收中发现的存在问题由各区消防安全委员会负责督促有关地区全面落实整改，并书面向市消防安全委员会报送有关整改落实情况。</w:t>
      </w:r>
    </w:p>
    <w:p>
      <w:pPr>
        <w:pStyle w:val="23"/>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评估验收火灾隐患重点地区（对象）：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禅城区张槎街道、南海区里水镇、顺德区伦教街道、高明区荷城街道、三水区乐平镇。</w:t>
      </w:r>
    </w:p>
    <w:p>
      <w:pPr>
        <w:pStyle w:val="10"/>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sectPr>
          <w:pgSz w:w="11906" w:h="16838"/>
          <w:pgMar w:top="1440" w:right="1083" w:bottom="1440" w:left="1083" w:header="851" w:footer="992" w:gutter="0"/>
          <w:pgNumType w:fmt="decimal"/>
          <w:cols w:space="0" w:num="1"/>
          <w:rtlGutter w:val="0"/>
          <w:docGrid w:type="lines" w:linePitch="312" w:charSpace="0"/>
        </w:sectPr>
      </w:pPr>
    </w:p>
    <w:p>
      <w:pPr>
        <w:pStyle w:val="8"/>
        <w:numPr>
          <w:ilvl w:val="1"/>
          <w:numId w:val="2"/>
        </w:numPr>
        <w:rPr>
          <w:rFonts w:hint="eastAsia" w:asciiTheme="minorEastAsia" w:hAnsiTheme="minorEastAsia" w:eastAsiaTheme="minorEastAsia" w:cstheme="minorEastAsia"/>
          <w:color w:val="auto"/>
          <w:sz w:val="32"/>
          <w:highlight w:val="none"/>
        </w:rPr>
      </w:pPr>
      <w:bookmarkStart w:id="46" w:name="_Toc6812"/>
      <w:bookmarkStart w:id="47" w:name="_Toc15752"/>
      <w:bookmarkStart w:id="48" w:name="_Toc12293"/>
      <w:r>
        <w:rPr>
          <w:rFonts w:hint="eastAsia" w:asciiTheme="minorEastAsia" w:hAnsiTheme="minorEastAsia" w:eastAsiaTheme="minorEastAsia" w:cstheme="minorEastAsia"/>
          <w:color w:val="auto"/>
          <w:sz w:val="32"/>
          <w:highlight w:val="none"/>
        </w:rPr>
        <w:fldChar w:fldCharType="begin"/>
      </w:r>
      <w:r>
        <w:rPr>
          <w:rFonts w:hint="eastAsia" w:asciiTheme="minorEastAsia" w:hAnsiTheme="minorEastAsia" w:eastAsiaTheme="minorEastAsia" w:cstheme="minorEastAsia"/>
          <w:color w:val="auto"/>
          <w:sz w:val="32"/>
          <w:highlight w:val="none"/>
        </w:rPr>
        <w:instrText xml:space="preserve"> DOCVARIABLE  商务要求开始  \* MERGEFORMAT </w:instrText>
      </w:r>
      <w:r>
        <w:rPr>
          <w:rFonts w:hint="eastAsia" w:asciiTheme="minorEastAsia" w:hAnsiTheme="minorEastAsia" w:eastAsiaTheme="minorEastAsia" w:cstheme="minorEastAsia"/>
          <w:color w:val="auto"/>
          <w:sz w:val="32"/>
          <w:highlight w:val="none"/>
        </w:rPr>
        <w:fldChar w:fldCharType="separate"/>
      </w:r>
      <w:r>
        <w:rPr>
          <w:rFonts w:hint="eastAsia" w:asciiTheme="minorEastAsia" w:hAnsiTheme="minorEastAsia" w:eastAsiaTheme="minorEastAsia" w:cstheme="minorEastAsia"/>
          <w:color w:val="auto"/>
          <w:sz w:val="32"/>
          <w:highlight w:val="none"/>
        </w:rPr>
        <w:fldChar w:fldCharType="end"/>
      </w:r>
      <w:bookmarkStart w:id="49" w:name="_Toc525312041"/>
      <w:r>
        <w:rPr>
          <w:rFonts w:hint="eastAsia" w:asciiTheme="minorEastAsia" w:hAnsiTheme="minorEastAsia" w:eastAsiaTheme="minorEastAsia" w:cstheme="minorEastAsia"/>
          <w:color w:val="auto"/>
          <w:sz w:val="32"/>
          <w:highlight w:val="none"/>
        </w:rPr>
        <w:t>采购项目商务要求</w:t>
      </w:r>
      <w:bookmarkEnd w:id="46"/>
      <w:bookmarkEnd w:id="47"/>
      <w:bookmarkEnd w:id="48"/>
      <w:bookmarkEnd w:id="49"/>
    </w:p>
    <w:p>
      <w:pPr>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2.1.基本商务要求一览表</w:t>
      </w:r>
    </w:p>
    <w:tbl>
      <w:tblPr>
        <w:tblStyle w:val="24"/>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147"/>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688"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2147"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商务条款</w:t>
            </w:r>
          </w:p>
        </w:tc>
        <w:tc>
          <w:tcPr>
            <w:tcW w:w="6813"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88" w:type="dxa"/>
            <w:noWrap w:val="0"/>
            <w:vAlign w:val="center"/>
          </w:tcPr>
          <w:p>
            <w:pPr>
              <w:keepNext w:val="0"/>
              <w:keepLines w:val="0"/>
              <w:pageBreakBefore w:val="0"/>
              <w:numPr>
                <w:ilvl w:val="0"/>
                <w:numId w:val="4"/>
              </w:numPr>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p>
        </w:tc>
        <w:tc>
          <w:tcPr>
            <w:tcW w:w="2147"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项目采购预算</w:t>
            </w:r>
          </w:p>
        </w:tc>
        <w:tc>
          <w:tcPr>
            <w:tcW w:w="6813" w:type="dxa"/>
            <w:noWrap w:val="0"/>
            <w:vAlign w:val="center"/>
          </w:tcPr>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人民币</w:t>
            </w:r>
            <w:r>
              <w:rPr>
                <w:rFonts w:hint="eastAsia" w:asciiTheme="minorEastAsia" w:hAnsiTheme="minorEastAsia" w:eastAsiaTheme="minorEastAsia" w:cstheme="minorEastAsia"/>
                <w:b/>
                <w:color w:val="auto"/>
                <w:sz w:val="24"/>
                <w:szCs w:val="24"/>
                <w:highlight w:val="none"/>
                <w:u w:val="single"/>
                <w:lang w:val="en-US" w:eastAsia="zh-CN" w:bidi="ar"/>
              </w:rPr>
              <w:t>990,000.000</w:t>
            </w:r>
            <w:r>
              <w:rPr>
                <w:rFonts w:hint="eastAsia" w:asciiTheme="minorEastAsia" w:hAnsiTheme="minorEastAsia" w:eastAsiaTheme="minorEastAsia" w:cstheme="minorEastAsia"/>
                <w:b/>
                <w:color w:val="auto"/>
                <w:sz w:val="24"/>
                <w:szCs w:val="24"/>
                <w:highlight w:val="none"/>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8" w:type="dxa"/>
            <w:noWrap w:val="0"/>
            <w:vAlign w:val="center"/>
          </w:tcPr>
          <w:p>
            <w:pPr>
              <w:keepNext w:val="0"/>
              <w:keepLines w:val="0"/>
              <w:pageBreakBefore w:val="0"/>
              <w:numPr>
                <w:ilvl w:val="0"/>
                <w:numId w:val="4"/>
              </w:numPr>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p>
        </w:tc>
        <w:tc>
          <w:tcPr>
            <w:tcW w:w="2147"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报价要求</w:t>
            </w:r>
          </w:p>
        </w:tc>
        <w:tc>
          <w:tcPr>
            <w:tcW w:w="6813" w:type="dxa"/>
            <w:noWrap w:val="0"/>
            <w:vAlign w:val="center"/>
          </w:tcPr>
          <w:p>
            <w:pPr>
              <w:keepNext w:val="0"/>
              <w:keepLines w:val="0"/>
              <w:pageBreakBefore w:val="0"/>
              <w:numPr>
                <w:ilvl w:val="0"/>
                <w:numId w:val="5"/>
              </w:numPr>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投标报价为包干总价，报价和结算支付均以人民币为货币单位，包括参与本项目所有服务涉及的一切调研费、成果编制费、成果验收费（含专家费）、交通差旅费、通讯费、雇员费用、全额含税发票税费。</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投标人应被认为在填报投标报价之前，已经仔细阅读了本招标文件的所有有关章节以及审查了所有相关资料，已确保本次招标的所有招标范围内的各种价格风险均已包含在投标报价内。开标后，任何因投标人的疏漏而提出的不利于采购人的合同单价调价申请将不被接受。</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投标人的投标报价应包括总价和单价，总价是对应于采购人本次采购的所有内容所计算的总价，为合同总价；其填报的明细单价则应是投标人对本采购项目所包含的具体的货物、工程及服务进行详细列示的计算单价。</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sz w:val="24"/>
                <w:szCs w:val="24"/>
                <w:highlight w:val="none"/>
                <w:lang w:bidi="ar"/>
              </w:rPr>
              <w:t>4项目采购预算为人民币</w:t>
            </w:r>
            <w:r>
              <w:rPr>
                <w:rFonts w:hint="eastAsia" w:asciiTheme="minorEastAsia" w:hAnsiTheme="minorEastAsia" w:eastAsiaTheme="minorEastAsia" w:cstheme="minorEastAsia"/>
                <w:color w:val="auto"/>
                <w:kern w:val="0"/>
                <w:sz w:val="24"/>
                <w:szCs w:val="24"/>
                <w:highlight w:val="none"/>
                <w:lang w:val="en-US" w:eastAsia="zh-CN" w:bidi="ar"/>
              </w:rPr>
              <w:t>990,000.00</w:t>
            </w:r>
            <w:r>
              <w:rPr>
                <w:rFonts w:hint="eastAsia" w:asciiTheme="minorEastAsia" w:hAnsiTheme="minorEastAsia" w:eastAsiaTheme="minorEastAsia" w:cstheme="minorEastAsia"/>
                <w:bCs/>
                <w:color w:val="auto"/>
                <w:kern w:val="0"/>
                <w:sz w:val="24"/>
                <w:szCs w:val="24"/>
                <w:highlight w:val="none"/>
                <w:lang w:bidi="ar"/>
              </w:rPr>
              <w:t>元</w:t>
            </w:r>
            <w:r>
              <w:rPr>
                <w:rFonts w:hint="eastAsia" w:asciiTheme="minorEastAsia" w:hAnsiTheme="minorEastAsia" w:eastAsiaTheme="minorEastAsia" w:cstheme="minorEastAsia"/>
                <w:bCs/>
                <w:color w:val="auto"/>
                <w:kern w:val="0"/>
                <w:sz w:val="24"/>
                <w:szCs w:val="24"/>
                <w:highlight w:val="none"/>
                <w:lang w:val="zh-CN" w:bidi="ar"/>
              </w:rPr>
              <w:t>，</w:t>
            </w:r>
            <w:r>
              <w:rPr>
                <w:rFonts w:hint="eastAsia" w:asciiTheme="minorEastAsia" w:hAnsiTheme="minorEastAsia" w:eastAsiaTheme="minorEastAsia" w:cstheme="minorEastAsia"/>
                <w:bCs/>
                <w:color w:val="auto"/>
                <w:kern w:val="0"/>
                <w:sz w:val="24"/>
                <w:szCs w:val="24"/>
                <w:highlight w:val="none"/>
                <w:lang w:bidi="ar"/>
              </w:rPr>
              <w:t>投标最高限价为</w:t>
            </w:r>
            <w:r>
              <w:rPr>
                <w:rFonts w:hint="eastAsia" w:asciiTheme="minorEastAsia" w:hAnsiTheme="minorEastAsia" w:eastAsiaTheme="minorEastAsia" w:cstheme="minorEastAsia"/>
                <w:bCs/>
                <w:color w:val="auto"/>
                <w:kern w:val="0"/>
                <w:sz w:val="24"/>
                <w:szCs w:val="24"/>
                <w:highlight w:val="none"/>
                <w:lang w:val="en-US" w:eastAsia="zh-CN" w:bidi="ar"/>
              </w:rPr>
              <w:t>990,000.00</w:t>
            </w:r>
            <w:r>
              <w:rPr>
                <w:rFonts w:hint="eastAsia" w:asciiTheme="minorEastAsia" w:hAnsiTheme="minorEastAsia" w:eastAsiaTheme="minorEastAsia" w:cstheme="minorEastAsia"/>
                <w:color w:val="auto"/>
                <w:kern w:val="0"/>
                <w:sz w:val="24"/>
                <w:szCs w:val="24"/>
                <w:highlight w:val="none"/>
                <w:lang w:bidi="ar"/>
              </w:rPr>
              <w:t>元；投标报价若超过项目采购预算（或投标最高限价）的，其投标报价将视为无效。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8" w:type="dxa"/>
            <w:noWrap w:val="0"/>
            <w:vAlign w:val="center"/>
          </w:tcPr>
          <w:p>
            <w:pPr>
              <w:keepNext w:val="0"/>
              <w:keepLines w:val="0"/>
              <w:pageBreakBefore w:val="0"/>
              <w:numPr>
                <w:ilvl w:val="0"/>
                <w:numId w:val="4"/>
              </w:numPr>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p>
        </w:tc>
        <w:tc>
          <w:tcPr>
            <w:tcW w:w="2147"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项目服务地点</w:t>
            </w:r>
          </w:p>
        </w:tc>
        <w:tc>
          <w:tcPr>
            <w:tcW w:w="6813"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采购人（用户）指定地点。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8" w:type="dxa"/>
            <w:noWrap w:val="0"/>
            <w:vAlign w:val="center"/>
          </w:tcPr>
          <w:p>
            <w:pPr>
              <w:keepNext w:val="0"/>
              <w:keepLines w:val="0"/>
              <w:pageBreakBefore w:val="0"/>
              <w:numPr>
                <w:ilvl w:val="0"/>
                <w:numId w:val="4"/>
              </w:numPr>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p>
        </w:tc>
        <w:tc>
          <w:tcPr>
            <w:tcW w:w="2147" w:type="dxa"/>
            <w:noWrap w:val="0"/>
            <w:vAlign w:val="center"/>
          </w:tcPr>
          <w:p>
            <w:pPr>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rPr>
              <w:t>合同履行期限</w:t>
            </w:r>
          </w:p>
        </w:tc>
        <w:tc>
          <w:tcPr>
            <w:tcW w:w="6813" w:type="dxa"/>
            <w:noWrap w:val="0"/>
            <w:vAlign w:val="center"/>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2021年12月25日完成所有评估数据汇总和检查、分析评估、资料整编、评估验收报告编写。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88" w:type="dxa"/>
            <w:noWrap w:val="0"/>
            <w:vAlign w:val="center"/>
          </w:tcPr>
          <w:p>
            <w:pPr>
              <w:keepNext w:val="0"/>
              <w:keepLines w:val="0"/>
              <w:pageBreakBefore w:val="0"/>
              <w:numPr>
                <w:ilvl w:val="0"/>
                <w:numId w:val="4"/>
              </w:numPr>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p>
        </w:tc>
        <w:tc>
          <w:tcPr>
            <w:tcW w:w="2147"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付款方式</w:t>
            </w:r>
          </w:p>
        </w:tc>
        <w:tc>
          <w:tcPr>
            <w:tcW w:w="6813" w:type="dxa"/>
            <w:noWrap w:val="0"/>
            <w:vAlign w:val="center"/>
          </w:tcPr>
          <w:p>
            <w:pPr>
              <w:keepNext w:val="0"/>
              <w:keepLines w:val="0"/>
              <w:pageBreakBefore w:val="0"/>
              <w:numPr>
                <w:ilvl w:val="0"/>
                <w:numId w:val="6"/>
              </w:numPr>
              <w:kinsoku/>
              <w:wordWrap/>
              <w:overflowPunct/>
              <w:topLinePunct w:val="0"/>
              <w:autoSpaceDE/>
              <w:autoSpaceDN/>
              <w:bidi w:val="0"/>
              <w:adjustRightInd/>
              <w:snapToGrid/>
              <w:spacing w:line="312" w:lineRule="auto"/>
              <w:ind w:left="10" w:leftChars="0" w:hanging="1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签订合同</w:t>
            </w:r>
            <w:r>
              <w:rPr>
                <w:rFonts w:hint="eastAsia" w:asciiTheme="minorEastAsia" w:hAnsiTheme="minorEastAsia" w:eastAsiaTheme="minorEastAsia" w:cstheme="minorEastAsia"/>
                <w:color w:val="auto"/>
                <w:sz w:val="24"/>
                <w:szCs w:val="24"/>
                <w:highlight w:val="none"/>
                <w:lang w:eastAsia="zh-CN"/>
              </w:rPr>
              <w:t>后，采购人在收到成交人开具的合格发票后</w:t>
            </w:r>
            <w:r>
              <w:rPr>
                <w:rFonts w:hint="eastAsia" w:asciiTheme="minorEastAsia" w:hAnsiTheme="minorEastAsia" w:eastAsiaTheme="minorEastAsia" w:cstheme="minorEastAsia"/>
                <w:color w:val="auto"/>
                <w:sz w:val="24"/>
                <w:szCs w:val="24"/>
                <w:highlight w:val="none"/>
                <w:lang w:val="en-US" w:eastAsia="zh-CN"/>
              </w:rPr>
              <w:t>7个工作日内向</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lang w:val="en-US" w:eastAsia="zh-CN"/>
              </w:rPr>
              <w:t>指定账户支付中标金额的30%。</w:t>
            </w:r>
          </w:p>
          <w:p>
            <w:pPr>
              <w:keepNext w:val="0"/>
              <w:keepLines w:val="0"/>
              <w:pageBreakBefore w:val="0"/>
              <w:numPr>
                <w:ilvl w:val="0"/>
                <w:numId w:val="6"/>
              </w:numPr>
              <w:kinsoku/>
              <w:wordWrap/>
              <w:overflowPunct/>
              <w:topLinePunct w:val="0"/>
              <w:autoSpaceDE/>
              <w:autoSpaceDN/>
              <w:bidi w:val="0"/>
              <w:adjustRightInd/>
              <w:snapToGrid/>
              <w:spacing w:line="312" w:lineRule="auto"/>
              <w:ind w:left="10" w:leftChars="0" w:hanging="1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成交人完成实地评估，向采购人提交书面评估报告，经采购人验收合格后，采购人在收到成交人开具的合格发票后</w:t>
            </w:r>
            <w:r>
              <w:rPr>
                <w:rFonts w:hint="eastAsia" w:asciiTheme="minorEastAsia" w:hAnsiTheme="minorEastAsia" w:eastAsiaTheme="minorEastAsia" w:cstheme="minorEastAsia"/>
                <w:color w:val="auto"/>
                <w:sz w:val="24"/>
                <w:szCs w:val="24"/>
                <w:highlight w:val="none"/>
                <w:lang w:val="en-US" w:eastAsia="zh-CN"/>
              </w:rPr>
              <w:t>7个工作日内向</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lang w:val="en-US" w:eastAsia="zh-CN"/>
              </w:rPr>
              <w:t>指定账户支付中标金额的65%。</w:t>
            </w:r>
          </w:p>
          <w:p>
            <w:pPr>
              <w:keepNext w:val="0"/>
              <w:keepLines w:val="0"/>
              <w:pageBreakBefore w:val="0"/>
              <w:numPr>
                <w:ilvl w:val="0"/>
                <w:numId w:val="6"/>
              </w:numPr>
              <w:kinsoku/>
              <w:wordWrap/>
              <w:overflowPunct/>
              <w:topLinePunct w:val="0"/>
              <w:autoSpaceDE/>
              <w:autoSpaceDN/>
              <w:bidi w:val="0"/>
              <w:adjustRightInd/>
              <w:snapToGrid/>
              <w:spacing w:line="312" w:lineRule="auto"/>
              <w:ind w:left="10" w:leftChars="0" w:hanging="1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项目通过省、市政府验收合格并下发相应摘牌通知后，</w:t>
            </w:r>
            <w:r>
              <w:rPr>
                <w:rFonts w:hint="eastAsia" w:asciiTheme="minorEastAsia" w:hAnsiTheme="minorEastAsia" w:eastAsiaTheme="minorEastAsia" w:cstheme="minorEastAsia"/>
                <w:color w:val="auto"/>
                <w:sz w:val="24"/>
                <w:szCs w:val="24"/>
                <w:highlight w:val="none"/>
                <w:lang w:eastAsia="zh-CN"/>
              </w:rPr>
              <w:t>采购人在收到成交人开具的合格发票后</w:t>
            </w:r>
            <w:r>
              <w:rPr>
                <w:rFonts w:hint="eastAsia" w:asciiTheme="minorEastAsia" w:hAnsiTheme="minorEastAsia" w:eastAsiaTheme="minorEastAsia" w:cstheme="minorEastAsia"/>
                <w:color w:val="auto"/>
                <w:sz w:val="24"/>
                <w:szCs w:val="24"/>
                <w:highlight w:val="none"/>
                <w:lang w:val="en-US" w:eastAsia="zh-CN"/>
              </w:rPr>
              <w:t>7个工作日内向</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lang w:val="en-US" w:eastAsia="zh-CN"/>
              </w:rPr>
              <w:t>指定账户支付中标金额的5%。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88" w:type="dxa"/>
            <w:noWrap w:val="0"/>
            <w:vAlign w:val="center"/>
          </w:tcPr>
          <w:p>
            <w:pPr>
              <w:keepNext w:val="0"/>
              <w:keepLines w:val="0"/>
              <w:pageBreakBefore w:val="0"/>
              <w:numPr>
                <w:ilvl w:val="0"/>
                <w:numId w:val="4"/>
              </w:numPr>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color w:val="auto"/>
                <w:sz w:val="24"/>
                <w:szCs w:val="24"/>
                <w:highlight w:val="none"/>
              </w:rPr>
            </w:pPr>
          </w:p>
        </w:tc>
        <w:tc>
          <w:tcPr>
            <w:tcW w:w="2147" w:type="dxa"/>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付款要求</w:t>
            </w:r>
          </w:p>
        </w:tc>
        <w:tc>
          <w:tcPr>
            <w:tcW w:w="6813" w:type="dxa"/>
            <w:noWrap w:val="0"/>
            <w:vAlign w:val="center"/>
          </w:tcPr>
          <w:p>
            <w:pPr>
              <w:pStyle w:val="21"/>
              <w:keepNext w:val="0"/>
              <w:keepLines w:val="0"/>
              <w:pageBreakBefore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bidi="ar"/>
              </w:rPr>
              <w:t>1</w:t>
            </w:r>
            <w:r>
              <w:rPr>
                <w:rFonts w:hint="eastAsia" w:asciiTheme="minorEastAsia" w:hAnsiTheme="minorEastAsia" w:eastAsiaTheme="minorEastAsia" w:cstheme="minorEastAsia"/>
                <w:color w:val="auto"/>
                <w:highlight w:val="none"/>
                <w:lang w:bidi="ar"/>
              </w:rPr>
              <w:t>.因采购人使用的是财政资金，采购人在规定的付款时间为向政府采购支付部门提出办理财政支付申请手续的时间（不含政府财政支付部门审核的时间），在规定时间内提出支付申请手续后即视为采购人已经按期支付。</w:t>
            </w:r>
          </w:p>
          <w:p>
            <w:pPr>
              <w:pStyle w:val="21"/>
              <w:keepNext w:val="0"/>
              <w:keepLines w:val="0"/>
              <w:pageBreakBefore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bidi="ar"/>
              </w:rPr>
              <w:t>2</w:t>
            </w:r>
            <w:r>
              <w:rPr>
                <w:rFonts w:hint="eastAsia" w:asciiTheme="minorEastAsia" w:hAnsiTheme="minorEastAsia" w:eastAsiaTheme="minorEastAsia" w:cstheme="minorEastAsia"/>
                <w:color w:val="auto"/>
                <w:highlight w:val="none"/>
                <w:lang w:bidi="ar"/>
              </w:rPr>
              <w:t>.收款方、出具发票方、乙方均必须与中标（成交）人名称一致。</w:t>
            </w:r>
          </w:p>
          <w:p>
            <w:pPr>
              <w:pStyle w:val="21"/>
              <w:keepNext w:val="0"/>
              <w:keepLines w:val="0"/>
              <w:pageBreakBefore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highlight w:val="none"/>
                <w:lang w:val="en-US" w:eastAsia="zh-CN" w:bidi="ar"/>
              </w:rPr>
              <w:t>3</w:t>
            </w:r>
            <w:r>
              <w:rPr>
                <w:rFonts w:hint="eastAsia" w:asciiTheme="minorEastAsia" w:hAnsiTheme="minorEastAsia" w:eastAsiaTheme="minorEastAsia" w:cstheme="minorEastAsia"/>
                <w:color w:val="auto"/>
                <w:highlight w:val="none"/>
                <w:lang w:bidi="ar"/>
              </w:rPr>
              <w:t>.费用以转账方式转入中标（成交）人的银行账户。</w:t>
            </w:r>
          </w:p>
        </w:tc>
      </w:tr>
    </w:tbl>
    <w:p>
      <w:pPr>
        <w:spacing w:line="360" w:lineRule="auto"/>
        <w:jc w:val="left"/>
        <w:rPr>
          <w:rFonts w:hint="eastAsia" w:asciiTheme="minorEastAsia" w:hAnsiTheme="minorEastAsia" w:eastAsiaTheme="minorEastAsia" w:cstheme="minorEastAsia"/>
          <w:b/>
          <w:color w:val="auto"/>
          <w:szCs w:val="21"/>
          <w:highlight w:val="none"/>
          <w:lang w:val="en-US" w:eastAsia="zh-CN"/>
        </w:rPr>
      </w:pPr>
    </w:p>
    <w:p>
      <w:pPr>
        <w:spacing w:line="360" w:lineRule="auto"/>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其他商务要求：</w:t>
      </w:r>
    </w:p>
    <w:p>
      <w:pPr>
        <w:pStyle w:val="4"/>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（1）成果报告：提交</w:t>
      </w:r>
      <w:r>
        <w:rPr>
          <w:rFonts w:hint="eastAsia" w:asciiTheme="minorEastAsia" w:hAnsiTheme="minorEastAsia" w:eastAsiaTheme="minorEastAsia" w:cstheme="minorEastAsia"/>
          <w:bCs/>
          <w:color w:val="auto"/>
          <w:sz w:val="24"/>
          <w:szCs w:val="24"/>
          <w:highlight w:val="none"/>
          <w:lang w:eastAsia="zh-CN"/>
        </w:rPr>
        <w:t>科学公正的验收评估报告</w:t>
      </w:r>
      <w:r>
        <w:rPr>
          <w:rFonts w:hint="eastAsia" w:asciiTheme="minorEastAsia" w:hAnsiTheme="minorEastAsia" w:eastAsiaTheme="minorEastAsia" w:cstheme="minorEastAsia"/>
          <w:bCs/>
          <w:color w:val="auto"/>
          <w:sz w:val="24"/>
          <w:szCs w:val="24"/>
          <w:highlight w:val="none"/>
        </w:rPr>
        <w:t>。</w:t>
      </w:r>
    </w:p>
    <w:p>
      <w:pPr>
        <w:pStyle w:val="4"/>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保密要求：成交人在项目实施过程中，对采购人所提供的所有相关资料、数据，未经采购人书面同意不得向任何第三人泄露，且保密责任不因合同的终止或解除而失效。如采购人提出要求，投标人须无条件与甲方签定保密协议。项目完成后，成交人须把采购人提供的所有资料、数据完整归还采购人，并不得留存任何复制品。</w:t>
      </w:r>
    </w:p>
    <w:p>
      <w:pPr>
        <w:pStyle w:val="4"/>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（3）著作权归属：</w:t>
      </w:r>
    </w:p>
    <w:p>
      <w:pPr>
        <w:pStyle w:val="4"/>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1）项目版权归双方共同所有；未经采购人同意，成交人不可将版权转让和复制。</w:t>
      </w:r>
    </w:p>
    <w:p>
      <w:pPr>
        <w:pStyle w:val="4"/>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2）成交供应商保证在系统过程中不会侵犯第三方的知识产权，否则，一切侵权责任及由此造成的费用均由成交供应商承担。</w:t>
      </w:r>
    </w:p>
    <w:p>
      <w:pPr>
        <w:pStyle w:val="4"/>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）成交人应具备火灾隐患重点地区整治检查涉密数据的收发、制作、传递、使用及保存条件。</w:t>
      </w:r>
    </w:p>
    <w:p>
      <w:pPr>
        <w:pStyle w:val="4"/>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）成交人有义务随时向采购人解释所有过程的检查内容。</w:t>
      </w:r>
    </w:p>
    <w:p>
      <w:pPr>
        <w:pStyle w:val="21"/>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color w:val="auto"/>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采购人</w:t>
      </w:r>
      <w:r>
        <w:rPr>
          <w:rFonts w:hint="eastAsia" w:asciiTheme="minorEastAsia" w:hAnsiTheme="minorEastAsia" w:eastAsiaTheme="minorEastAsia" w:cstheme="minorEastAsia"/>
          <w:bCs/>
          <w:color w:val="auto"/>
          <w:sz w:val="24"/>
          <w:szCs w:val="24"/>
          <w:highlight w:val="none"/>
        </w:rPr>
        <w:t>应向</w:t>
      </w:r>
      <w:r>
        <w:rPr>
          <w:rFonts w:hint="eastAsia" w:asciiTheme="minorEastAsia" w:hAnsiTheme="minorEastAsia" w:eastAsiaTheme="minorEastAsia" w:cstheme="minorEastAsia"/>
          <w:bCs/>
          <w:color w:val="auto"/>
          <w:sz w:val="24"/>
          <w:szCs w:val="24"/>
          <w:highlight w:val="none"/>
          <w:lang w:eastAsia="zh-CN"/>
        </w:rPr>
        <w:t>成交人</w:t>
      </w:r>
      <w:r>
        <w:rPr>
          <w:rFonts w:hint="eastAsia" w:asciiTheme="minorEastAsia" w:hAnsiTheme="minorEastAsia" w:eastAsiaTheme="minorEastAsia" w:cstheme="minorEastAsia"/>
          <w:bCs/>
          <w:color w:val="auto"/>
          <w:sz w:val="24"/>
          <w:szCs w:val="24"/>
          <w:highlight w:val="none"/>
        </w:rPr>
        <w:t>及时转达火灾隐患重点地区整治场所工作的有关台账、文件和通知等重要指导文件，安排相关整治人员协助带路，以便</w:t>
      </w:r>
      <w:r>
        <w:rPr>
          <w:rFonts w:hint="eastAsia" w:asciiTheme="minorEastAsia" w:hAnsiTheme="minorEastAsia" w:eastAsiaTheme="minorEastAsia" w:cstheme="minorEastAsia"/>
          <w:bCs/>
          <w:color w:val="auto"/>
          <w:sz w:val="24"/>
          <w:szCs w:val="24"/>
          <w:highlight w:val="none"/>
          <w:lang w:eastAsia="zh-CN"/>
        </w:rPr>
        <w:t>成交人</w:t>
      </w:r>
      <w:r>
        <w:rPr>
          <w:rFonts w:hint="eastAsia" w:asciiTheme="minorEastAsia" w:hAnsiTheme="minorEastAsia" w:eastAsiaTheme="minorEastAsia" w:cstheme="minorEastAsia"/>
          <w:bCs/>
          <w:color w:val="auto"/>
          <w:sz w:val="24"/>
          <w:szCs w:val="24"/>
          <w:highlight w:val="none"/>
        </w:rPr>
        <w:t>顺利完成合同内容。</w:t>
      </w:r>
    </w:p>
    <w:p>
      <w:pPr>
        <w:pStyle w:val="8"/>
        <w:jc w:val="both"/>
        <w:rPr>
          <w:rFonts w:hint="eastAsia" w:asciiTheme="minorEastAsia" w:hAnsiTheme="minorEastAsia" w:eastAsiaTheme="minorEastAsia" w:cstheme="minorEastAsia"/>
          <w:b/>
          <w:bCs/>
          <w:color w:val="auto"/>
          <w:kern w:val="2"/>
          <w:sz w:val="24"/>
          <w:szCs w:val="24"/>
          <w:highlight w:val="non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
        </w:rPr>
        <w:t>附件1：全市第十二批火灾隐患重点地区整治工作验收查阅资料标准(上述验收标准如有最新版，按最新版执行)</w:t>
      </w:r>
    </w:p>
    <w:p>
      <w:pPr>
        <w:pStyle w:val="8"/>
        <w:jc w:val="both"/>
        <w:rPr>
          <w:rFonts w:hint="eastAsia" w:asciiTheme="minorEastAsia" w:hAnsiTheme="minorEastAsia" w:eastAsiaTheme="minorEastAsia" w:cstheme="minorEastAsia"/>
          <w:b/>
          <w:bCs/>
          <w:color w:val="auto"/>
          <w:kern w:val="2"/>
          <w:sz w:val="24"/>
          <w:szCs w:val="24"/>
          <w:highlight w:val="non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
        </w:rPr>
        <w:t>附件2：全市第十二批火灾隐患重点地区整治验收实地评估标准(上述验收标准如有最新版，按最新版执行)</w:t>
      </w:r>
    </w:p>
    <w:p>
      <w:pPr>
        <w:rPr>
          <w:rFonts w:hint="default"/>
          <w:highlight w:val="none"/>
          <w:lang w:val="en-US" w:eastAsia="zh-CN"/>
        </w:rPr>
      </w:pPr>
    </w:p>
    <w:p>
      <w:pPr>
        <w:rPr>
          <w:rFonts w:hint="default"/>
          <w:highlight w:val="none"/>
          <w:lang w:val="en-US" w:eastAsia="zh-CN"/>
        </w:rPr>
      </w:pPr>
    </w:p>
    <w:p>
      <w:pPr>
        <w:pStyle w:val="8"/>
        <w:rPr>
          <w:rFonts w:hint="default"/>
          <w:highlight w:val="none"/>
          <w:lang w:val="en-US" w:eastAsia="zh-CN"/>
        </w:rPr>
        <w:sectPr>
          <w:headerReference r:id="rId12" w:type="default"/>
          <w:footerReference r:id="rId13" w:type="default"/>
          <w:pgSz w:w="11906" w:h="16838"/>
          <w:pgMar w:top="1134" w:right="1134" w:bottom="1134" w:left="1587" w:header="567" w:footer="737" w:gutter="0"/>
          <w:pgNumType w:fmt="decimal"/>
          <w:cols w:space="0" w:num="1"/>
          <w:rtlGutter w:val="0"/>
          <w:docGrid w:linePitch="312" w:charSpace="0"/>
        </w:sectPr>
      </w:pPr>
    </w:p>
    <w:p>
      <w:pPr>
        <w:pStyle w:val="21"/>
        <w:keepNext w:val="0"/>
        <w:keepLines w:val="0"/>
        <w:pageBreakBefore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highlight w:val="none"/>
          <w:lang w:bidi="ar"/>
        </w:rPr>
      </w:pPr>
    </w:p>
    <w:p>
      <w:pPr>
        <w:rPr>
          <w:rFonts w:hint="eastAsia"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rPr>
        <w:t>附件</w:t>
      </w:r>
      <w:r>
        <w:rPr>
          <w:rFonts w:hint="eastAsia" w:ascii="Times New Roman" w:hAnsi="Times New Roman" w:eastAsia="黑体" w:cs="Times New Roman"/>
          <w:b w:val="0"/>
          <w:bCs w:val="0"/>
          <w:color w:val="000000"/>
          <w:sz w:val="32"/>
          <w:szCs w:val="32"/>
          <w:highlight w:val="none"/>
          <w:lang w:val="en-US" w:eastAsia="zh-CN"/>
        </w:rPr>
        <w:t>1</w:t>
      </w:r>
    </w:p>
    <w:p>
      <w:pPr>
        <w:jc w:val="center"/>
        <w:rPr>
          <w:rFonts w:hint="default" w:ascii="Times New Roman" w:hAnsi="Times New Roman" w:eastAsia="方正小标宋_GBK" w:cs="Times New Roman"/>
          <w:b w:val="0"/>
          <w:bCs w:val="0"/>
          <w:color w:val="000000"/>
          <w:highlight w:val="none"/>
        </w:rPr>
      </w:pPr>
      <w:r>
        <w:rPr>
          <w:rFonts w:hint="eastAsia" w:ascii="方正小标宋简体" w:hAnsi="方正小标宋简体" w:eastAsia="方正小标宋简体" w:cs="方正小标宋简体"/>
          <w:b w:val="0"/>
          <w:bCs w:val="0"/>
          <w:color w:val="000000"/>
          <w:sz w:val="44"/>
          <w:szCs w:val="32"/>
          <w:highlight w:val="none"/>
        </w:rPr>
        <w:t>全</w:t>
      </w:r>
      <w:r>
        <w:rPr>
          <w:rFonts w:hint="eastAsia" w:ascii="方正小标宋简体" w:hAnsi="方正小标宋简体" w:eastAsia="方正小标宋简体" w:cs="方正小标宋简体"/>
          <w:b w:val="0"/>
          <w:bCs w:val="0"/>
          <w:color w:val="000000"/>
          <w:sz w:val="44"/>
          <w:szCs w:val="32"/>
          <w:highlight w:val="none"/>
          <w:lang w:val="en-US" w:eastAsia="zh-CN"/>
        </w:rPr>
        <w:t>市</w:t>
      </w:r>
      <w:r>
        <w:rPr>
          <w:rFonts w:hint="eastAsia" w:ascii="方正小标宋简体" w:hAnsi="方正小标宋简体" w:eastAsia="方正小标宋简体" w:cs="方正小标宋简体"/>
          <w:b w:val="0"/>
          <w:bCs w:val="0"/>
          <w:color w:val="000000"/>
          <w:sz w:val="44"/>
          <w:szCs w:val="32"/>
          <w:highlight w:val="none"/>
        </w:rPr>
        <w:t>第十</w:t>
      </w:r>
      <w:r>
        <w:rPr>
          <w:rFonts w:hint="eastAsia" w:ascii="方正小标宋简体" w:hAnsi="方正小标宋简体" w:eastAsia="方正小标宋简体" w:cs="方正小标宋简体"/>
          <w:b w:val="0"/>
          <w:bCs w:val="0"/>
          <w:color w:val="000000"/>
          <w:sz w:val="44"/>
          <w:szCs w:val="32"/>
          <w:highlight w:val="none"/>
          <w:lang w:val="en-US" w:eastAsia="zh-CN"/>
        </w:rPr>
        <w:t>二</w:t>
      </w:r>
      <w:r>
        <w:rPr>
          <w:rFonts w:hint="default" w:ascii="Times New Roman" w:hAnsi="Times New Roman" w:eastAsia="方正小标宋_GBK" w:cs="Times New Roman"/>
          <w:b w:val="0"/>
          <w:bCs w:val="0"/>
          <w:color w:val="000000"/>
          <w:sz w:val="44"/>
          <w:szCs w:val="32"/>
          <w:highlight w:val="none"/>
        </w:rPr>
        <w:t>批火灾隐患重点地区整治工作验收查阅资料标准（10分）</w:t>
      </w:r>
    </w:p>
    <w:tbl>
      <w:tblPr>
        <w:tblStyle w:val="24"/>
        <w:tblW w:w="14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0"/>
        <w:gridCol w:w="6300"/>
        <w:gridCol w:w="19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noWrap w:val="0"/>
            <w:vAlign w:val="center"/>
          </w:tcPr>
          <w:p>
            <w:pPr>
              <w:jc w:val="center"/>
              <w:rPr>
                <w:rFonts w:ascii="Times New Roman" w:hAnsi="Times New Roman"/>
                <w:color w:val="000000"/>
                <w:highlight w:val="none"/>
              </w:rPr>
            </w:pPr>
            <w:r>
              <w:rPr>
                <w:rFonts w:hint="default" w:ascii="Times New Roman" w:hAnsi="Times New Roman" w:cs="Times New Roman"/>
                <w:b/>
                <w:bCs/>
                <w:color w:val="000000"/>
                <w:sz w:val="24"/>
                <w:highlight w:val="none"/>
              </w:rPr>
              <w:t>项目</w:t>
            </w:r>
          </w:p>
        </w:tc>
        <w:tc>
          <w:tcPr>
            <w:tcW w:w="2700" w:type="dxa"/>
            <w:noWrap w:val="0"/>
            <w:vAlign w:val="center"/>
          </w:tcPr>
          <w:p>
            <w:pPr>
              <w:jc w:val="center"/>
              <w:rPr>
                <w:rFonts w:ascii="Times New Roman" w:hAnsi="Times New Roman"/>
                <w:color w:val="000000"/>
                <w:highlight w:val="none"/>
              </w:rPr>
            </w:pPr>
            <w:r>
              <w:rPr>
                <w:rFonts w:hint="default" w:ascii="Times New Roman" w:hAnsi="Times New Roman" w:cs="Times New Roman"/>
                <w:b/>
                <w:bCs/>
                <w:color w:val="000000"/>
                <w:sz w:val="24"/>
                <w:highlight w:val="none"/>
              </w:rPr>
              <w:t>内</w:t>
            </w:r>
            <w:r>
              <w:rPr>
                <w:rFonts w:ascii="Times New Roman" w:hAnsi="Times New Roman" w:cs="Times New Roman"/>
                <w:b/>
                <w:bCs/>
                <w:color w:val="000000"/>
                <w:sz w:val="24"/>
                <w:highlight w:val="none"/>
              </w:rPr>
              <w:t xml:space="preserve">    </w:t>
            </w:r>
            <w:r>
              <w:rPr>
                <w:rFonts w:hint="default" w:ascii="Times New Roman" w:hAnsi="Times New Roman" w:cs="Times New Roman"/>
                <w:b/>
                <w:bCs/>
                <w:color w:val="000000"/>
                <w:sz w:val="24"/>
                <w:highlight w:val="none"/>
              </w:rPr>
              <w:t>容</w:t>
            </w:r>
          </w:p>
        </w:tc>
        <w:tc>
          <w:tcPr>
            <w:tcW w:w="6300" w:type="dxa"/>
            <w:noWrap w:val="0"/>
            <w:vAlign w:val="center"/>
          </w:tcPr>
          <w:p>
            <w:pPr>
              <w:jc w:val="center"/>
              <w:rPr>
                <w:rFonts w:ascii="Times New Roman" w:hAnsi="Times New Roman"/>
                <w:color w:val="000000"/>
                <w:highlight w:val="none"/>
              </w:rPr>
            </w:pPr>
            <w:r>
              <w:rPr>
                <w:rFonts w:hint="default" w:ascii="Times New Roman" w:hAnsi="Times New Roman" w:cs="Times New Roman"/>
                <w:b/>
                <w:bCs/>
                <w:color w:val="000000"/>
                <w:sz w:val="24"/>
                <w:highlight w:val="none"/>
              </w:rPr>
              <w:t>评分细则</w:t>
            </w:r>
          </w:p>
        </w:tc>
        <w:tc>
          <w:tcPr>
            <w:tcW w:w="1980" w:type="dxa"/>
            <w:noWrap w:val="0"/>
            <w:vAlign w:val="center"/>
          </w:tcPr>
          <w:p>
            <w:pPr>
              <w:jc w:val="center"/>
              <w:rPr>
                <w:rFonts w:ascii="Times New Roman" w:hAnsi="Times New Roman"/>
                <w:color w:val="000000"/>
                <w:highlight w:val="none"/>
              </w:rPr>
            </w:pPr>
            <w:r>
              <w:rPr>
                <w:rFonts w:hint="default" w:ascii="Times New Roman" w:hAnsi="Times New Roman" w:cs="Times New Roman"/>
                <w:b/>
                <w:bCs/>
                <w:color w:val="000000"/>
                <w:sz w:val="24"/>
                <w:highlight w:val="none"/>
              </w:rPr>
              <w:t>扣分情况</w:t>
            </w:r>
          </w:p>
        </w:tc>
        <w:tc>
          <w:tcPr>
            <w:tcW w:w="1800" w:type="dxa"/>
            <w:noWrap w:val="0"/>
            <w:vAlign w:val="center"/>
          </w:tcPr>
          <w:p>
            <w:pPr>
              <w:jc w:val="center"/>
              <w:rPr>
                <w:rFonts w:ascii="Times New Roman" w:hAnsi="Times New Roman"/>
                <w:color w:val="000000"/>
                <w:highlight w:val="none"/>
              </w:rPr>
            </w:pPr>
            <w:r>
              <w:rPr>
                <w:rFonts w:hint="default" w:ascii="Times New Roman" w:hAnsi="Times New Roman" w:cs="Times New Roman"/>
                <w:b/>
                <w:bCs/>
                <w:color w:val="000000"/>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restart"/>
            <w:noWrap w:val="0"/>
            <w:vAlign w:val="center"/>
          </w:tcPr>
          <w:p>
            <w:pPr>
              <w:jc w:val="center"/>
              <w:rPr>
                <w:rFonts w:ascii="Times New Roman" w:hAnsi="Times New Roman" w:cs="Times New Roman"/>
                <w:b/>
                <w:color w:val="000000"/>
                <w:kern w:val="0"/>
                <w:sz w:val="24"/>
                <w:highlight w:val="none"/>
              </w:rPr>
            </w:pPr>
            <w:r>
              <w:rPr>
                <w:rFonts w:hint="default" w:ascii="Times New Roman" w:hAnsi="Times New Roman" w:cs="Times New Roman"/>
                <w:b/>
                <w:color w:val="000000"/>
                <w:kern w:val="0"/>
                <w:sz w:val="24"/>
                <w:highlight w:val="none"/>
              </w:rPr>
              <w:t>动员部署</w:t>
            </w:r>
          </w:p>
          <w:p>
            <w:pPr>
              <w:jc w:val="center"/>
              <w:rPr>
                <w:rFonts w:ascii="Times New Roman" w:hAnsi="Times New Roman" w:cs="Times New Roman"/>
                <w:b/>
                <w:bCs/>
                <w:color w:val="000000"/>
                <w:sz w:val="24"/>
                <w:highlight w:val="none"/>
              </w:rPr>
            </w:pPr>
            <w:r>
              <w:rPr>
                <w:rFonts w:hint="default" w:ascii="Times New Roman" w:hAnsi="Times New Roman" w:cs="Times New Roman"/>
                <w:b/>
                <w:color w:val="000000"/>
                <w:kern w:val="0"/>
                <w:sz w:val="24"/>
                <w:highlight w:val="none"/>
              </w:rPr>
              <w:t>（</w:t>
            </w:r>
            <w:r>
              <w:rPr>
                <w:rFonts w:hint="eastAsia" w:ascii="Times New Roman" w:hAnsi="Times New Roman" w:cs="Times New Roman"/>
                <w:b/>
                <w:color w:val="000000"/>
                <w:kern w:val="0"/>
                <w:sz w:val="24"/>
                <w:highlight w:val="none"/>
                <w:lang w:val="en-US" w:eastAsia="zh-CN"/>
              </w:rPr>
              <w:t>2</w:t>
            </w:r>
            <w:r>
              <w:rPr>
                <w:rFonts w:hint="default" w:ascii="Times New Roman" w:hAnsi="Times New Roman" w:cs="Times New Roman"/>
                <w:b/>
                <w:color w:val="000000"/>
                <w:kern w:val="0"/>
                <w:sz w:val="24"/>
                <w:highlight w:val="none"/>
              </w:rPr>
              <w:t>分）</w:t>
            </w:r>
          </w:p>
        </w:tc>
        <w:tc>
          <w:tcPr>
            <w:tcW w:w="2700" w:type="dxa"/>
            <w:noWrap w:val="0"/>
            <w:vAlign w:val="center"/>
          </w:tcPr>
          <w:p>
            <w:pPr>
              <w:spacing w:line="320" w:lineRule="exact"/>
              <w:rPr>
                <w:rFonts w:ascii="Times New Roman" w:hAnsi="Times New Roman"/>
                <w:color w:val="000000"/>
                <w:highlight w:val="none"/>
              </w:rPr>
            </w:pPr>
            <w:r>
              <w:rPr>
                <w:rFonts w:ascii="Times New Roman" w:hAnsi="Times New Roman"/>
                <w:color w:val="000000"/>
                <w:highlight w:val="none"/>
              </w:rPr>
              <w:t>1</w:t>
            </w:r>
            <w:r>
              <w:rPr>
                <w:rFonts w:hint="default" w:ascii="Times New Roman" w:hAnsi="Times New Roman"/>
                <w:color w:val="000000"/>
                <w:highlight w:val="none"/>
                <w:lang w:val="en-US" w:eastAsia="zh-CN"/>
              </w:rPr>
              <w:t>.</w:t>
            </w:r>
            <w:r>
              <w:rPr>
                <w:rFonts w:hint="default" w:ascii="Times New Roman" w:hAnsi="Times New Roman" w:cs="Times New Roman"/>
                <w:color w:val="000000"/>
                <w:highlight w:val="none"/>
              </w:rPr>
              <w:t>制订整治实施方案和工作进度表。（</w:t>
            </w:r>
            <w:r>
              <w:rPr>
                <w:rFonts w:hint="eastAsia" w:ascii="Times New Roman" w:hAnsi="Times New Roman" w:cs="Times New Roman"/>
                <w:color w:val="000000"/>
                <w:highlight w:val="none"/>
                <w:lang w:val="en-US" w:eastAsia="zh-CN"/>
              </w:rPr>
              <w:t>0.5</w:t>
            </w:r>
            <w:r>
              <w:rPr>
                <w:rFonts w:hint="default" w:ascii="Times New Roman" w:hAnsi="Times New Roman" w:cs="Times New Roman"/>
                <w:color w:val="000000"/>
                <w:highlight w:val="none"/>
              </w:rPr>
              <w:t>分）</w:t>
            </w:r>
          </w:p>
        </w:tc>
        <w:tc>
          <w:tcPr>
            <w:tcW w:w="6300" w:type="dxa"/>
            <w:noWrap w:val="0"/>
            <w:vAlign w:val="center"/>
          </w:tcPr>
          <w:p>
            <w:pPr>
              <w:spacing w:line="280" w:lineRule="exact"/>
              <w:rPr>
                <w:rFonts w:ascii="Times New Roman" w:hAnsi="Times New Roman"/>
                <w:color w:val="000000"/>
                <w:highlight w:val="none"/>
              </w:rPr>
            </w:pPr>
            <w:r>
              <w:rPr>
                <w:rFonts w:ascii="Times New Roman" w:hAnsi="Times New Roman"/>
                <w:color w:val="000000"/>
                <w:highlight w:val="none"/>
              </w:rPr>
              <w:t>1</w:t>
            </w:r>
            <w:r>
              <w:rPr>
                <w:rFonts w:hint="default" w:ascii="Times New Roman" w:hAnsi="Times New Roman" w:cs="Times New Roman"/>
                <w:color w:val="000000"/>
                <w:highlight w:val="none"/>
              </w:rPr>
              <w:t>.查阅文件，</w:t>
            </w:r>
            <w:r>
              <w:rPr>
                <w:rFonts w:hint="eastAsia" w:ascii="Times New Roman" w:hAnsi="Times New Roman" w:cs="Times New Roman"/>
                <w:color w:val="000000"/>
                <w:highlight w:val="none"/>
                <w:lang w:val="en-US" w:eastAsia="zh-CN"/>
              </w:rPr>
              <w:t>区人民</w:t>
            </w:r>
            <w:r>
              <w:rPr>
                <w:rFonts w:hint="default" w:ascii="Times New Roman" w:hAnsi="Times New Roman" w:cs="Times New Roman"/>
                <w:color w:val="000000"/>
                <w:highlight w:val="none"/>
              </w:rPr>
              <w:t>政府未制订或批转下级政府整治实施方案和工作进度表的，扣</w:t>
            </w:r>
            <w:r>
              <w:rPr>
                <w:rFonts w:ascii="Times New Roman" w:hAnsi="Times New Roman"/>
                <w:color w:val="000000"/>
                <w:highlight w:val="none"/>
              </w:rPr>
              <w:t>0.</w:t>
            </w:r>
            <w:r>
              <w:rPr>
                <w:rFonts w:hint="default" w:ascii="Times New Roman" w:hAnsi="Times New Roman"/>
                <w:color w:val="000000"/>
                <w:highlight w:val="none"/>
              </w:rPr>
              <w:t>3</w:t>
            </w:r>
            <w:r>
              <w:rPr>
                <w:rFonts w:hint="default" w:ascii="Times New Roman" w:hAnsi="Times New Roman" w:cs="Times New Roman"/>
                <w:color w:val="000000"/>
                <w:highlight w:val="none"/>
              </w:rPr>
              <w:t>分；重点地区本级政府未分别制订整治实施方案和工作进度表的，每少</w:t>
            </w:r>
            <w:r>
              <w:rPr>
                <w:rFonts w:ascii="Times New Roman" w:hAnsi="Times New Roman"/>
                <w:color w:val="000000"/>
                <w:highlight w:val="none"/>
              </w:rPr>
              <w:t>1</w:t>
            </w:r>
            <w:r>
              <w:rPr>
                <w:rFonts w:hint="default" w:ascii="Times New Roman" w:hAnsi="Times New Roman" w:cs="Times New Roman"/>
                <w:color w:val="000000"/>
                <w:highlight w:val="none"/>
              </w:rPr>
              <w:t>个扣</w:t>
            </w:r>
            <w:r>
              <w:rPr>
                <w:rFonts w:ascii="Times New Roman" w:hAnsi="Times New Roman"/>
                <w:color w:val="000000"/>
                <w:highlight w:val="none"/>
              </w:rPr>
              <w:t>0.</w:t>
            </w:r>
            <w:r>
              <w:rPr>
                <w:rFonts w:hint="default" w:ascii="Times New Roman" w:hAnsi="Times New Roman"/>
                <w:color w:val="000000"/>
                <w:highlight w:val="none"/>
              </w:rPr>
              <w:t>2</w:t>
            </w:r>
            <w:r>
              <w:rPr>
                <w:rFonts w:hint="default" w:ascii="Times New Roman" w:hAnsi="Times New Roman" w:cs="Times New Roman"/>
                <w:color w:val="000000"/>
                <w:highlight w:val="none"/>
              </w:rPr>
              <w:t>分。</w:t>
            </w:r>
            <w:r>
              <w:rPr>
                <w:rFonts w:ascii="Times New Roman" w:hAnsi="Times New Roman"/>
                <w:color w:val="000000"/>
                <w:highlight w:val="none"/>
              </w:rPr>
              <w:t xml:space="preserve"> </w:t>
            </w:r>
          </w:p>
          <w:p>
            <w:pPr>
              <w:spacing w:line="280" w:lineRule="exact"/>
              <w:rPr>
                <w:rFonts w:ascii="Times New Roman" w:hAnsi="Times New Roman"/>
                <w:color w:val="000000"/>
                <w:highlight w:val="none"/>
              </w:rPr>
            </w:pPr>
            <w:r>
              <w:rPr>
                <w:rFonts w:ascii="Times New Roman" w:hAnsi="Times New Roman"/>
                <w:color w:val="000000"/>
                <w:highlight w:val="none"/>
              </w:rPr>
              <w:t>2</w:t>
            </w:r>
            <w:r>
              <w:rPr>
                <w:rFonts w:hint="default" w:ascii="Times New Roman" w:hAnsi="Times New Roman" w:cs="Times New Roman"/>
                <w:color w:val="000000"/>
                <w:highlight w:val="none"/>
              </w:rPr>
              <w:t>.查阅文件、会议纪要等档案资料，重点地区未成立整治办公室，抽调专门人员负责整治工作的，扣</w:t>
            </w:r>
            <w:r>
              <w:rPr>
                <w:rFonts w:ascii="Times New Roman" w:hAnsi="Times New Roman"/>
                <w:color w:val="000000"/>
                <w:highlight w:val="none"/>
              </w:rPr>
              <w:t>0.</w:t>
            </w:r>
            <w:r>
              <w:rPr>
                <w:rFonts w:hint="default" w:ascii="Times New Roman" w:hAnsi="Times New Roman"/>
                <w:color w:val="000000"/>
                <w:highlight w:val="none"/>
              </w:rPr>
              <w:t>3</w:t>
            </w:r>
            <w:r>
              <w:rPr>
                <w:rFonts w:hint="default" w:ascii="Times New Roman" w:hAnsi="Times New Roman" w:cs="Times New Roman"/>
                <w:color w:val="000000"/>
                <w:highlight w:val="none"/>
              </w:rPr>
              <w:t>分。</w:t>
            </w:r>
            <w:r>
              <w:rPr>
                <w:rFonts w:hint="default" w:ascii="Times New Roman" w:hAnsi="Times New Roman" w:cs="Times New Roman"/>
                <w:color w:val="000000"/>
                <w:highlight w:val="none"/>
                <w:lang w:val="en-US"/>
              </w:rPr>
              <w:t>核对整治办公室工作台账，未按时间节点要求落实工作进度任务或存在弄虚作假行为的，扣</w:t>
            </w:r>
            <w:r>
              <w:rPr>
                <w:rFonts w:hint="eastAsia" w:ascii="Times New Roman" w:hAnsi="Times New Roman" w:cs="Times New Roman"/>
                <w:color w:val="000000"/>
                <w:highlight w:val="none"/>
                <w:lang w:val="en-US" w:eastAsia="zh-CN"/>
              </w:rPr>
              <w:t>0.5</w:t>
            </w:r>
            <w:r>
              <w:rPr>
                <w:rFonts w:hint="default" w:ascii="Times New Roman" w:hAnsi="Times New Roman" w:cs="Times New Roman"/>
                <w:color w:val="000000"/>
                <w:highlight w:val="none"/>
                <w:lang w:val="en-US"/>
              </w:rPr>
              <w:t>分</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ascii="Times New Roman" w:hAnsi="Times New Roman" w:cs="Times New Roman"/>
                <w:b/>
                <w:bCs/>
                <w:color w:val="000000"/>
                <w:sz w:val="24"/>
                <w:highlight w:val="none"/>
              </w:rPr>
            </w:pPr>
          </w:p>
        </w:tc>
        <w:tc>
          <w:tcPr>
            <w:tcW w:w="2700" w:type="dxa"/>
            <w:noWrap w:val="0"/>
            <w:vAlign w:val="center"/>
          </w:tcPr>
          <w:p>
            <w:pPr>
              <w:spacing w:line="320" w:lineRule="exact"/>
              <w:rPr>
                <w:rFonts w:ascii="Times New Roman" w:hAnsi="Times New Roman"/>
                <w:color w:val="000000"/>
                <w:highlight w:val="none"/>
              </w:rPr>
            </w:pPr>
            <w:r>
              <w:rPr>
                <w:rFonts w:ascii="Times New Roman" w:hAnsi="Times New Roman"/>
                <w:color w:val="000000"/>
                <w:highlight w:val="none"/>
              </w:rPr>
              <w:t>2</w:t>
            </w:r>
            <w:r>
              <w:rPr>
                <w:rFonts w:hint="default" w:ascii="Times New Roman" w:hAnsi="Times New Roman"/>
                <w:color w:val="000000"/>
                <w:highlight w:val="none"/>
                <w:lang w:val="en-US" w:eastAsia="zh-CN"/>
              </w:rPr>
              <w:t>.</w:t>
            </w:r>
            <w:r>
              <w:rPr>
                <w:rFonts w:hint="default" w:ascii="Times New Roman" w:hAnsi="Times New Roman" w:cs="Times New Roman"/>
                <w:color w:val="000000"/>
                <w:highlight w:val="none"/>
              </w:rPr>
              <w:t>动员部署。（</w:t>
            </w:r>
            <w:r>
              <w:rPr>
                <w:rFonts w:hint="default" w:ascii="Times New Roman" w:hAnsi="Times New Roman"/>
                <w:color w:val="000000"/>
                <w:highlight w:val="none"/>
              </w:rPr>
              <w:t>0.5</w:t>
            </w:r>
            <w:r>
              <w:rPr>
                <w:rFonts w:hint="default" w:ascii="Times New Roman" w:hAnsi="Times New Roman" w:cs="Times New Roman"/>
                <w:color w:val="000000"/>
                <w:highlight w:val="none"/>
              </w:rPr>
              <w:t>分）</w:t>
            </w:r>
          </w:p>
        </w:tc>
        <w:tc>
          <w:tcPr>
            <w:tcW w:w="6300" w:type="dxa"/>
            <w:noWrap w:val="0"/>
            <w:vAlign w:val="center"/>
          </w:tcPr>
          <w:p>
            <w:pPr>
              <w:spacing w:line="280" w:lineRule="exact"/>
              <w:rPr>
                <w:rFonts w:ascii="Times New Roman" w:hAnsi="Times New Roman"/>
                <w:color w:val="000000"/>
                <w:highlight w:val="none"/>
              </w:rPr>
            </w:pPr>
            <w:r>
              <w:rPr>
                <w:rFonts w:ascii="Times New Roman" w:hAnsi="Times New Roman"/>
                <w:color w:val="000000"/>
                <w:highlight w:val="none"/>
              </w:rPr>
              <w:t>3</w:t>
            </w:r>
            <w:r>
              <w:rPr>
                <w:rFonts w:hint="default" w:ascii="Times New Roman" w:hAnsi="Times New Roman" w:cs="Times New Roman"/>
                <w:color w:val="000000"/>
                <w:highlight w:val="none"/>
              </w:rPr>
              <w:t>.查阅文件、图片影像资料等，</w:t>
            </w:r>
            <w:r>
              <w:rPr>
                <w:rFonts w:hint="eastAsia" w:ascii="Times New Roman" w:hAnsi="Times New Roman" w:cs="Times New Roman"/>
                <w:color w:val="000000"/>
                <w:highlight w:val="none"/>
                <w:lang w:val="en-US" w:eastAsia="zh-CN"/>
              </w:rPr>
              <w:t>区人民</w:t>
            </w:r>
            <w:r>
              <w:rPr>
                <w:rFonts w:hint="default" w:ascii="Times New Roman" w:hAnsi="Times New Roman" w:cs="Times New Roman"/>
                <w:color w:val="000000"/>
                <w:highlight w:val="none"/>
              </w:rPr>
              <w:t>政府未对整治工作进行动员部署的，扣</w:t>
            </w:r>
            <w:r>
              <w:rPr>
                <w:rFonts w:hint="default" w:ascii="Times New Roman" w:hAnsi="Times New Roman"/>
                <w:color w:val="000000"/>
                <w:highlight w:val="none"/>
              </w:rPr>
              <w:t>0.5</w:t>
            </w:r>
            <w:r>
              <w:rPr>
                <w:rFonts w:hint="default" w:ascii="Times New Roman" w:hAnsi="Times New Roman" w:cs="Times New Roman"/>
                <w:color w:val="000000"/>
                <w:highlight w:val="none"/>
              </w:rPr>
              <w:t>分。</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ascii="Times New Roman" w:hAnsi="Times New Roman" w:cs="Times New Roman"/>
                <w:b/>
                <w:bCs/>
                <w:color w:val="000000"/>
                <w:sz w:val="24"/>
                <w:highlight w:val="none"/>
              </w:rPr>
            </w:pPr>
          </w:p>
        </w:tc>
        <w:tc>
          <w:tcPr>
            <w:tcW w:w="2700" w:type="dxa"/>
            <w:noWrap w:val="0"/>
            <w:vAlign w:val="center"/>
          </w:tcPr>
          <w:p>
            <w:pPr>
              <w:spacing w:line="320" w:lineRule="exact"/>
              <w:rPr>
                <w:rFonts w:ascii="Times New Roman" w:hAnsi="Times New Roman"/>
                <w:color w:val="000000"/>
                <w:highlight w:val="none"/>
              </w:rPr>
            </w:pPr>
            <w:r>
              <w:rPr>
                <w:rFonts w:hint="default" w:ascii="Times New Roman" w:hAnsi="Times New Roman"/>
                <w:color w:val="000000"/>
                <w:highlight w:val="none"/>
              </w:rPr>
              <w:t>3</w:t>
            </w:r>
            <w:r>
              <w:rPr>
                <w:rFonts w:hint="default" w:ascii="Times New Roman" w:hAnsi="Times New Roman"/>
                <w:color w:val="000000"/>
                <w:highlight w:val="none"/>
                <w:lang w:val="en-US" w:eastAsia="zh-CN"/>
              </w:rPr>
              <w:t>.</w:t>
            </w:r>
            <w:r>
              <w:rPr>
                <w:rFonts w:hint="default" w:ascii="Times New Roman" w:hAnsi="Times New Roman"/>
                <w:color w:val="000000"/>
                <w:highlight w:val="none"/>
              </w:rPr>
              <w:t>逐级挂牌督办。（0.5分）</w:t>
            </w:r>
          </w:p>
        </w:tc>
        <w:tc>
          <w:tcPr>
            <w:tcW w:w="6300" w:type="dxa"/>
            <w:noWrap w:val="0"/>
            <w:vAlign w:val="center"/>
          </w:tcPr>
          <w:p>
            <w:pPr>
              <w:spacing w:line="280" w:lineRule="exact"/>
              <w:rPr>
                <w:rFonts w:ascii="Times New Roman" w:hAnsi="Times New Roman"/>
                <w:color w:val="000000"/>
                <w:highlight w:val="none"/>
              </w:rPr>
            </w:pPr>
            <w:r>
              <w:rPr>
                <w:rFonts w:hint="default" w:ascii="Times New Roman" w:hAnsi="Times New Roman"/>
                <w:color w:val="000000"/>
                <w:highlight w:val="none"/>
              </w:rPr>
              <w:t>4</w:t>
            </w:r>
            <w:r>
              <w:rPr>
                <w:rFonts w:hint="default" w:ascii="Times New Roman" w:hAnsi="Times New Roman" w:cs="Times New Roman"/>
                <w:color w:val="000000"/>
                <w:highlight w:val="none"/>
              </w:rPr>
              <w:t>.查看文件，</w:t>
            </w:r>
            <w:r>
              <w:rPr>
                <w:rFonts w:hint="eastAsia" w:ascii="Times New Roman" w:hAnsi="Times New Roman" w:cs="Times New Roman"/>
                <w:color w:val="000000"/>
                <w:highlight w:val="none"/>
                <w:lang w:val="en-US" w:eastAsia="zh-CN"/>
              </w:rPr>
              <w:t>区人民</w:t>
            </w:r>
            <w:r>
              <w:rPr>
                <w:rFonts w:hint="default" w:ascii="Times New Roman" w:hAnsi="Times New Roman" w:cs="Times New Roman"/>
                <w:color w:val="000000"/>
                <w:highlight w:val="none"/>
              </w:rPr>
              <w:t>政府未结合本地实际，挂牌督办</w:t>
            </w:r>
            <w:r>
              <w:rPr>
                <w:rFonts w:hint="eastAsia" w:ascii="Times New Roman" w:hAnsi="Times New Roman" w:cs="Times New Roman"/>
                <w:color w:val="000000"/>
                <w:highlight w:val="none"/>
                <w:lang w:val="en-US" w:eastAsia="zh-CN"/>
              </w:rPr>
              <w:t>区</w:t>
            </w:r>
            <w:r>
              <w:rPr>
                <w:rFonts w:hint="default" w:ascii="Times New Roman" w:hAnsi="Times New Roman" w:cs="Times New Roman"/>
                <w:color w:val="000000"/>
                <w:highlight w:val="none"/>
              </w:rPr>
              <w:t>级火灾隐患重点地区的，扣</w:t>
            </w:r>
            <w:r>
              <w:rPr>
                <w:rFonts w:hint="default" w:ascii="Times New Roman" w:hAnsi="Times New Roman"/>
                <w:color w:val="000000"/>
                <w:highlight w:val="none"/>
              </w:rPr>
              <w:t>0.5</w:t>
            </w:r>
            <w:r>
              <w:rPr>
                <w:rFonts w:hint="default" w:ascii="Times New Roman" w:hAnsi="Times New Roman" w:cs="Times New Roman"/>
                <w:color w:val="000000"/>
                <w:highlight w:val="none"/>
              </w:rPr>
              <w:t>分。</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ascii="Times New Roman" w:hAnsi="Times New Roman" w:cs="Times New Roman"/>
                <w:b/>
                <w:bCs/>
                <w:color w:val="000000"/>
                <w:sz w:val="24"/>
                <w:highlight w:val="none"/>
              </w:rPr>
            </w:pPr>
          </w:p>
        </w:tc>
        <w:tc>
          <w:tcPr>
            <w:tcW w:w="2700" w:type="dxa"/>
            <w:noWrap w:val="0"/>
            <w:vAlign w:val="center"/>
          </w:tcPr>
          <w:p>
            <w:pPr>
              <w:snapToGrid w:val="0"/>
              <w:spacing w:line="320" w:lineRule="exact"/>
              <w:rPr>
                <w:rFonts w:ascii="Times New Roman" w:hAnsi="Times New Roman"/>
                <w:color w:val="000000"/>
                <w:highlight w:val="none"/>
              </w:rPr>
            </w:pPr>
            <w:r>
              <w:rPr>
                <w:rFonts w:hint="default" w:ascii="Times New Roman" w:hAnsi="Times New Roman"/>
                <w:color w:val="000000"/>
                <w:highlight w:val="none"/>
              </w:rPr>
              <w:t>4</w:t>
            </w:r>
            <w:r>
              <w:rPr>
                <w:rFonts w:hint="default" w:ascii="Times New Roman" w:hAnsi="Times New Roman"/>
                <w:color w:val="000000"/>
                <w:highlight w:val="none"/>
                <w:lang w:val="en-US" w:eastAsia="zh-CN"/>
              </w:rPr>
              <w:t>.</w:t>
            </w:r>
            <w:r>
              <w:rPr>
                <w:rFonts w:hint="default" w:ascii="Times New Roman" w:hAnsi="Times New Roman" w:cs="Times New Roman"/>
                <w:color w:val="000000"/>
                <w:highlight w:val="none"/>
              </w:rPr>
              <w:t>自评验收。（</w:t>
            </w:r>
            <w:r>
              <w:rPr>
                <w:rFonts w:hint="eastAsia" w:ascii="Times New Roman" w:hAnsi="Times New Roman" w:cs="Times New Roman"/>
                <w:color w:val="000000"/>
                <w:highlight w:val="none"/>
                <w:lang w:val="en-US" w:eastAsia="zh-CN"/>
              </w:rPr>
              <w:t>0.5</w:t>
            </w:r>
            <w:r>
              <w:rPr>
                <w:rFonts w:hint="default" w:ascii="Times New Roman" w:hAnsi="Times New Roman" w:cs="Times New Roman"/>
                <w:color w:val="000000"/>
                <w:highlight w:val="none"/>
              </w:rPr>
              <w:t>分）</w:t>
            </w:r>
          </w:p>
        </w:tc>
        <w:tc>
          <w:tcPr>
            <w:tcW w:w="6300" w:type="dxa"/>
            <w:noWrap w:val="0"/>
            <w:vAlign w:val="center"/>
          </w:tcPr>
          <w:p>
            <w:pPr>
              <w:spacing w:line="280" w:lineRule="exact"/>
              <w:rPr>
                <w:rFonts w:ascii="Times New Roman" w:hAnsi="Times New Roman"/>
                <w:color w:val="000000"/>
                <w:highlight w:val="none"/>
              </w:rPr>
            </w:pPr>
            <w:r>
              <w:rPr>
                <w:rFonts w:hint="default" w:ascii="Times New Roman" w:hAnsi="Times New Roman"/>
                <w:color w:val="000000"/>
                <w:highlight w:val="none"/>
              </w:rPr>
              <w:t>5</w:t>
            </w:r>
            <w:r>
              <w:rPr>
                <w:rFonts w:hint="default" w:ascii="Times New Roman" w:hAnsi="Times New Roman" w:cs="Times New Roman"/>
                <w:color w:val="000000"/>
                <w:highlight w:val="none"/>
              </w:rPr>
              <w:t>.查阅文件、档案台账，</w:t>
            </w:r>
            <w:r>
              <w:rPr>
                <w:rFonts w:hint="eastAsia" w:ascii="Times New Roman" w:hAnsi="Times New Roman" w:cs="Times New Roman"/>
                <w:color w:val="000000"/>
                <w:highlight w:val="none"/>
                <w:lang w:val="en-US" w:eastAsia="zh-CN"/>
              </w:rPr>
              <w:t>区人民</w:t>
            </w:r>
            <w:r>
              <w:rPr>
                <w:rFonts w:hint="default" w:ascii="Times New Roman" w:hAnsi="Times New Roman" w:cs="Times New Roman"/>
                <w:color w:val="000000"/>
                <w:highlight w:val="none"/>
              </w:rPr>
              <w:t>政府未组织自查自验，直接委托或指令下一级政府委托消防技术服务机构进行实地评估并出具评估报告的，扣</w:t>
            </w:r>
            <w:r>
              <w:rPr>
                <w:rFonts w:ascii="Times New Roman" w:hAnsi="Times New Roman"/>
                <w:color w:val="000000"/>
                <w:highlight w:val="none"/>
              </w:rPr>
              <w:t>0.5</w:t>
            </w:r>
            <w:r>
              <w:rPr>
                <w:rFonts w:hint="default" w:ascii="Times New Roman" w:hAnsi="Times New Roman" w:cs="Times New Roman"/>
                <w:color w:val="000000"/>
                <w:highlight w:val="none"/>
              </w:rPr>
              <w:t>分。</w:t>
            </w:r>
            <w:r>
              <w:rPr>
                <w:rFonts w:hint="default" w:ascii="Times New Roman" w:hAnsi="Times New Roman" w:cs="Times New Roman"/>
                <w:color w:val="000000"/>
                <w:highlight w:val="none"/>
                <w:lang w:val="en-US"/>
              </w:rPr>
              <w:t>比对实地评估检查情况，存在自评自验走过场或弄虚作假情形的，扣</w:t>
            </w:r>
            <w:r>
              <w:rPr>
                <w:rFonts w:hint="eastAsia" w:ascii="Times New Roman" w:hAnsi="Times New Roman" w:cs="Times New Roman"/>
                <w:color w:val="000000"/>
                <w:highlight w:val="none"/>
                <w:lang w:val="en-US" w:eastAsia="zh-CN"/>
              </w:rPr>
              <w:t>0.5</w:t>
            </w:r>
            <w:r>
              <w:rPr>
                <w:rFonts w:hint="default" w:ascii="Times New Roman" w:hAnsi="Times New Roman" w:cs="Times New Roman"/>
                <w:color w:val="000000"/>
                <w:highlight w:val="none"/>
                <w:lang w:val="en-US"/>
              </w:rPr>
              <w:t>分。</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Merge w:val="restart"/>
            <w:noWrap w:val="0"/>
            <w:vAlign w:val="center"/>
          </w:tcPr>
          <w:p>
            <w:pPr>
              <w:widowControl/>
              <w:jc w:val="center"/>
              <w:rPr>
                <w:rFonts w:ascii="Times New Roman" w:hAnsi="Times New Roman" w:cs="Times New Roman"/>
                <w:b/>
                <w:color w:val="000000"/>
                <w:kern w:val="0"/>
                <w:sz w:val="24"/>
                <w:highlight w:val="none"/>
              </w:rPr>
            </w:pPr>
            <w:r>
              <w:rPr>
                <w:rFonts w:hint="default" w:ascii="Times New Roman" w:hAnsi="Times New Roman" w:cs="Times New Roman"/>
                <w:b/>
                <w:color w:val="000000"/>
                <w:kern w:val="0"/>
                <w:sz w:val="24"/>
                <w:highlight w:val="none"/>
              </w:rPr>
              <w:t>消防安全责任</w:t>
            </w:r>
          </w:p>
          <w:p>
            <w:pPr>
              <w:jc w:val="center"/>
              <w:rPr>
                <w:rFonts w:ascii="Times New Roman" w:hAnsi="Times New Roman" w:cs="Times New Roman"/>
                <w:b/>
                <w:bCs/>
                <w:color w:val="000000"/>
                <w:sz w:val="24"/>
                <w:highlight w:val="none"/>
              </w:rPr>
            </w:pPr>
            <w:r>
              <w:rPr>
                <w:rFonts w:hint="default" w:ascii="Times New Roman" w:hAnsi="Times New Roman" w:cs="Times New Roman"/>
                <w:b/>
                <w:color w:val="000000"/>
                <w:kern w:val="0"/>
                <w:sz w:val="24"/>
                <w:highlight w:val="none"/>
              </w:rPr>
              <w:t>（</w:t>
            </w:r>
            <w:r>
              <w:rPr>
                <w:rFonts w:hint="default" w:ascii="Times New Roman" w:hAnsi="Times New Roman" w:cs="Times New Roman"/>
                <w:b/>
                <w:color w:val="000000"/>
                <w:kern w:val="0"/>
                <w:sz w:val="24"/>
                <w:highlight w:val="none"/>
                <w:lang w:val="en-US"/>
              </w:rPr>
              <w:t>6</w:t>
            </w:r>
            <w:r>
              <w:rPr>
                <w:rFonts w:hint="default" w:ascii="Times New Roman" w:hAnsi="Times New Roman" w:cs="Times New Roman"/>
                <w:b/>
                <w:color w:val="000000"/>
                <w:kern w:val="0"/>
                <w:sz w:val="24"/>
                <w:highlight w:val="none"/>
              </w:rPr>
              <w:t>分）</w:t>
            </w:r>
          </w:p>
        </w:tc>
        <w:tc>
          <w:tcPr>
            <w:tcW w:w="2700" w:type="dxa"/>
            <w:noWrap w:val="0"/>
            <w:vAlign w:val="center"/>
          </w:tcPr>
          <w:p>
            <w:pPr>
              <w:snapToGrid w:val="0"/>
              <w:spacing w:line="320" w:lineRule="exact"/>
              <w:rPr>
                <w:rFonts w:ascii="Times New Roman" w:hAnsi="Times New Roman"/>
                <w:color w:val="000000"/>
                <w:highlight w:val="none"/>
              </w:rPr>
            </w:pPr>
            <w:r>
              <w:rPr>
                <w:rFonts w:hint="default" w:ascii="Times New Roman" w:hAnsi="Times New Roman"/>
                <w:color w:val="000000"/>
                <w:highlight w:val="none"/>
              </w:rPr>
              <w:t>5</w:t>
            </w:r>
            <w:r>
              <w:rPr>
                <w:rFonts w:hint="default" w:ascii="Times New Roman" w:hAnsi="Times New Roman"/>
                <w:color w:val="000000"/>
                <w:highlight w:val="none"/>
                <w:lang w:val="en-US" w:eastAsia="zh-CN"/>
              </w:rPr>
              <w:t>.</w:t>
            </w:r>
            <w:r>
              <w:rPr>
                <w:rFonts w:hint="default" w:ascii="Times New Roman" w:hAnsi="Times New Roman" w:cs="Times New Roman"/>
                <w:color w:val="000000"/>
                <w:highlight w:val="none"/>
              </w:rPr>
              <w:t>建立消防安全组织及制度（</w:t>
            </w:r>
            <w:r>
              <w:rPr>
                <w:rFonts w:hint="default" w:ascii="Times New Roman" w:hAnsi="Times New Roman"/>
                <w:color w:val="000000"/>
                <w:highlight w:val="none"/>
                <w:lang w:val="en-US"/>
              </w:rPr>
              <w:t>1</w:t>
            </w:r>
            <w:r>
              <w:rPr>
                <w:rFonts w:hint="default" w:ascii="Times New Roman" w:hAnsi="Times New Roman" w:cs="Times New Roman"/>
                <w:color w:val="000000"/>
                <w:highlight w:val="none"/>
              </w:rPr>
              <w:t>分）</w:t>
            </w:r>
          </w:p>
        </w:tc>
        <w:tc>
          <w:tcPr>
            <w:tcW w:w="6300" w:type="dxa"/>
            <w:noWrap w:val="0"/>
            <w:vAlign w:val="center"/>
          </w:tcPr>
          <w:p>
            <w:pPr>
              <w:spacing w:line="280" w:lineRule="exact"/>
              <w:rPr>
                <w:rFonts w:ascii="Times New Roman" w:hAnsi="Times New Roman"/>
                <w:color w:val="000000"/>
                <w:highlight w:val="none"/>
              </w:rPr>
            </w:pPr>
            <w:r>
              <w:rPr>
                <w:rFonts w:hint="default" w:ascii="Times New Roman" w:hAnsi="Times New Roman"/>
                <w:color w:val="000000"/>
                <w:highlight w:val="none"/>
              </w:rPr>
              <w:t>6</w:t>
            </w:r>
            <w:r>
              <w:rPr>
                <w:rFonts w:hint="default" w:ascii="Times New Roman" w:hAnsi="Times New Roman" w:cs="Times New Roman"/>
                <w:color w:val="000000"/>
                <w:highlight w:val="none"/>
              </w:rPr>
              <w:t>.查阅文件，重点地区所在镇（街）未建立消防安全委员会的，扣</w:t>
            </w:r>
            <w:r>
              <w:rPr>
                <w:rFonts w:hint="default" w:ascii="Times New Roman" w:hAnsi="Times New Roman" w:cs="Times New Roman"/>
                <w:color w:val="000000"/>
                <w:highlight w:val="none"/>
                <w:lang w:val="en-US"/>
              </w:rPr>
              <w:t>1</w:t>
            </w:r>
            <w:r>
              <w:rPr>
                <w:rFonts w:hint="default" w:ascii="Times New Roman" w:hAnsi="Times New Roman" w:cs="Times New Roman"/>
                <w:color w:val="000000"/>
                <w:highlight w:val="none"/>
              </w:rPr>
              <w:t>分</w:t>
            </w:r>
            <w:r>
              <w:rPr>
                <w:rFonts w:hint="default" w:ascii="Times New Roman" w:hAnsi="Times New Roman" w:cs="Times New Roman"/>
                <w:color w:val="000000"/>
                <w:highlight w:val="none"/>
                <w:lang w:val="en-US"/>
              </w:rPr>
              <w:t>；未明确镇（街）班子成员分管消防工作的，扣0.5分；未因地制宜设立基层消防监督工作组织或明确消防工作主管部门的，扣1分。</w:t>
            </w:r>
          </w:p>
          <w:p>
            <w:pPr>
              <w:spacing w:line="280" w:lineRule="exact"/>
              <w:rPr>
                <w:rFonts w:ascii="Times New Roman" w:hAnsi="Times New Roman"/>
                <w:color w:val="000000"/>
                <w:highlight w:val="none"/>
              </w:rPr>
            </w:pPr>
            <w:r>
              <w:rPr>
                <w:rFonts w:hint="default" w:ascii="Times New Roman" w:hAnsi="Times New Roman"/>
                <w:color w:val="000000"/>
                <w:highlight w:val="none"/>
              </w:rPr>
              <w:t>7</w:t>
            </w:r>
            <w:r>
              <w:rPr>
                <w:rFonts w:hint="default" w:ascii="Times New Roman" w:hAnsi="Times New Roman" w:cs="Times New Roman"/>
                <w:color w:val="000000"/>
                <w:highlight w:val="none"/>
              </w:rPr>
              <w:t>.查阅文件，重点地区未制定并落实章程、部门职责分工、会议、工作评议、督查督办等制度的，每少</w:t>
            </w:r>
            <w:r>
              <w:rPr>
                <w:rFonts w:ascii="Times New Roman" w:hAnsi="Times New Roman" w:cs="Times New Roman"/>
                <w:color w:val="000000"/>
                <w:highlight w:val="none"/>
              </w:rPr>
              <w:t>1</w:t>
            </w:r>
            <w:r>
              <w:rPr>
                <w:rFonts w:hint="default" w:ascii="Times New Roman" w:hAnsi="Times New Roman" w:cs="Times New Roman"/>
                <w:color w:val="000000"/>
                <w:highlight w:val="none"/>
              </w:rPr>
              <w:t>个扣</w:t>
            </w:r>
            <w:r>
              <w:rPr>
                <w:rFonts w:ascii="Times New Roman" w:hAnsi="Times New Roman" w:cs="Times New Roman"/>
                <w:color w:val="000000"/>
                <w:highlight w:val="none"/>
              </w:rPr>
              <w:t>0.</w:t>
            </w:r>
            <w:r>
              <w:rPr>
                <w:rFonts w:ascii="Times New Roman" w:hAnsi="Times New Roman" w:cs="Times New Roman"/>
                <w:color w:val="000000"/>
                <w:highlight w:val="none"/>
                <w:lang w:val="en-US"/>
              </w:rPr>
              <w:t>5</w:t>
            </w:r>
            <w:r>
              <w:rPr>
                <w:rFonts w:hint="default" w:ascii="Times New Roman" w:hAnsi="Times New Roman" w:cs="Times New Roman"/>
                <w:color w:val="000000"/>
                <w:highlight w:val="none"/>
              </w:rPr>
              <w:t>分</w:t>
            </w:r>
            <w:r>
              <w:rPr>
                <w:rFonts w:hint="default" w:ascii="Times New Roman" w:hAnsi="Times New Roman" w:cs="Times New Roman"/>
                <w:color w:val="000000"/>
                <w:highlight w:val="none"/>
                <w:lang w:val="en-US"/>
              </w:rPr>
              <w:t>，扣完为止</w:t>
            </w:r>
            <w:r>
              <w:rPr>
                <w:rFonts w:hint="default" w:ascii="Times New Roman" w:hAnsi="Times New Roman" w:cs="Times New Roman"/>
                <w:color w:val="000000"/>
                <w:highlight w:val="none"/>
              </w:rPr>
              <w:t>。</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980" w:type="dxa"/>
            <w:vMerge w:val="continue"/>
            <w:noWrap w:val="0"/>
            <w:vAlign w:val="center"/>
          </w:tcPr>
          <w:p>
            <w:pPr>
              <w:jc w:val="center"/>
              <w:rPr>
                <w:rFonts w:ascii="Times New Roman" w:hAnsi="Times New Roman" w:cs="Times New Roman"/>
                <w:b/>
                <w:bCs/>
                <w:color w:val="000000"/>
                <w:sz w:val="24"/>
                <w:highlight w:val="none"/>
              </w:rPr>
            </w:pPr>
          </w:p>
        </w:tc>
        <w:tc>
          <w:tcPr>
            <w:tcW w:w="2700" w:type="dxa"/>
            <w:noWrap w:val="0"/>
            <w:vAlign w:val="center"/>
          </w:tcPr>
          <w:p>
            <w:pPr>
              <w:snapToGrid w:val="0"/>
              <w:spacing w:line="320" w:lineRule="exact"/>
              <w:rPr>
                <w:rFonts w:ascii="Times New Roman" w:hAnsi="Times New Roman"/>
                <w:color w:val="000000"/>
                <w:highlight w:val="none"/>
              </w:rPr>
            </w:pPr>
            <w:r>
              <w:rPr>
                <w:rFonts w:hint="default" w:ascii="Times New Roman" w:hAnsi="Times New Roman"/>
                <w:color w:val="000000"/>
                <w:highlight w:val="none"/>
              </w:rPr>
              <w:t>6</w:t>
            </w:r>
            <w:r>
              <w:rPr>
                <w:rFonts w:hint="default" w:ascii="Times New Roman" w:hAnsi="Times New Roman"/>
                <w:color w:val="000000"/>
                <w:highlight w:val="none"/>
                <w:lang w:val="en-US" w:eastAsia="zh-CN"/>
              </w:rPr>
              <w:t>.</w:t>
            </w:r>
            <w:r>
              <w:rPr>
                <w:rFonts w:hint="default" w:ascii="Times New Roman" w:hAnsi="Times New Roman" w:cs="Times New Roman"/>
                <w:color w:val="000000"/>
                <w:highlight w:val="none"/>
              </w:rPr>
              <w:t>定期督导检查消防工作；每半年向上级政府专题报告本地区消防工作情况。（</w:t>
            </w:r>
            <w:r>
              <w:rPr>
                <w:rFonts w:hint="default" w:ascii="Times New Roman" w:hAnsi="Times New Roman"/>
                <w:color w:val="000000"/>
                <w:highlight w:val="none"/>
              </w:rPr>
              <w:t>1</w:t>
            </w:r>
            <w:r>
              <w:rPr>
                <w:rFonts w:hint="default" w:ascii="Times New Roman" w:hAnsi="Times New Roman" w:cs="Times New Roman"/>
                <w:color w:val="000000"/>
                <w:highlight w:val="none"/>
              </w:rPr>
              <w:t>分）</w:t>
            </w:r>
          </w:p>
        </w:tc>
        <w:tc>
          <w:tcPr>
            <w:tcW w:w="6300" w:type="dxa"/>
            <w:noWrap w:val="0"/>
            <w:vAlign w:val="center"/>
          </w:tcPr>
          <w:p>
            <w:pPr>
              <w:spacing w:line="280" w:lineRule="exact"/>
              <w:rPr>
                <w:rFonts w:ascii="Times New Roman" w:hAnsi="Times New Roman"/>
                <w:color w:val="000000"/>
                <w:highlight w:val="none"/>
              </w:rPr>
            </w:pPr>
            <w:r>
              <w:rPr>
                <w:rFonts w:hint="default" w:ascii="Times New Roman" w:hAnsi="Times New Roman"/>
                <w:color w:val="000000"/>
                <w:highlight w:val="none"/>
              </w:rPr>
              <w:t>8</w:t>
            </w:r>
            <w:r>
              <w:rPr>
                <w:rFonts w:hint="default" w:ascii="Times New Roman" w:hAnsi="Times New Roman" w:cs="Times New Roman"/>
                <w:color w:val="000000"/>
                <w:highlight w:val="none"/>
              </w:rPr>
              <w:t>.查阅文件、通知、通报、图片影像等档案资料，重点地区本级政府未每月组织对公共消防设施建设、区域性火灾隐患等重大消防安全问题进行实地督导检查的，每少一次</w:t>
            </w:r>
            <w:r>
              <w:rPr>
                <w:rFonts w:hint="default" w:ascii="Times New Roman" w:hAnsi="Times New Roman"/>
                <w:color w:val="000000"/>
                <w:highlight w:val="none"/>
                <w:lang w:val="en-US"/>
              </w:rPr>
              <w:t>扣0.5</w:t>
            </w:r>
            <w:r>
              <w:rPr>
                <w:rFonts w:hint="default" w:ascii="Times New Roman" w:hAnsi="Times New Roman" w:cs="Times New Roman"/>
                <w:color w:val="000000"/>
                <w:highlight w:val="none"/>
              </w:rPr>
              <w:t>分</w:t>
            </w:r>
            <w:r>
              <w:rPr>
                <w:rFonts w:hint="default" w:ascii="Times New Roman" w:hAnsi="Times New Roman" w:cs="Times New Roman"/>
                <w:color w:val="000000"/>
                <w:highlight w:val="none"/>
                <w:lang w:val="en-US"/>
              </w:rPr>
              <w:t>，扣完为止</w:t>
            </w:r>
            <w:r>
              <w:rPr>
                <w:rFonts w:hint="default" w:ascii="Times New Roman" w:hAnsi="Times New Roman" w:cs="Times New Roman"/>
                <w:color w:val="000000"/>
                <w:highlight w:val="none"/>
              </w:rPr>
              <w:t>。</w:t>
            </w:r>
          </w:p>
          <w:p>
            <w:pPr>
              <w:spacing w:line="280" w:lineRule="exact"/>
              <w:rPr>
                <w:rFonts w:ascii="Times New Roman" w:hAnsi="Times New Roman"/>
                <w:color w:val="000000"/>
                <w:highlight w:val="none"/>
              </w:rPr>
            </w:pPr>
            <w:r>
              <w:rPr>
                <w:rFonts w:hint="default" w:ascii="Times New Roman" w:hAnsi="Times New Roman"/>
                <w:color w:val="000000"/>
                <w:highlight w:val="none"/>
              </w:rPr>
              <w:t>9</w:t>
            </w:r>
            <w:r>
              <w:rPr>
                <w:rFonts w:hint="default" w:ascii="Times New Roman" w:hAnsi="Times New Roman" w:cs="Times New Roman"/>
                <w:color w:val="000000"/>
                <w:highlight w:val="none"/>
              </w:rPr>
              <w:t>.查阅文件，重点地区本级政府每半年未向上级政府专题报告本地区消防工作的，扣</w:t>
            </w:r>
            <w:r>
              <w:rPr>
                <w:rFonts w:hint="default" w:ascii="Times New Roman" w:hAnsi="Times New Roman" w:cs="Times New Roman"/>
                <w:color w:val="000000"/>
                <w:highlight w:val="none"/>
                <w:lang w:val="en-US"/>
              </w:rPr>
              <w:t>1</w:t>
            </w:r>
            <w:r>
              <w:rPr>
                <w:rFonts w:hint="default" w:ascii="Times New Roman" w:hAnsi="Times New Roman" w:cs="Times New Roman"/>
                <w:color w:val="000000"/>
                <w:highlight w:val="none"/>
              </w:rPr>
              <w:t>分。</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ascii="Times New Roman" w:hAnsi="Times New Roman" w:cs="Times New Roman"/>
                <w:b/>
                <w:bCs/>
                <w:color w:val="000000"/>
                <w:sz w:val="24"/>
                <w:highlight w:val="none"/>
              </w:rPr>
            </w:pPr>
          </w:p>
        </w:tc>
        <w:tc>
          <w:tcPr>
            <w:tcW w:w="2700" w:type="dxa"/>
            <w:noWrap w:val="0"/>
            <w:vAlign w:val="center"/>
          </w:tcPr>
          <w:p>
            <w:pPr>
              <w:snapToGrid w:val="0"/>
              <w:spacing w:line="320" w:lineRule="exact"/>
              <w:rPr>
                <w:rFonts w:ascii="Times New Roman" w:hAnsi="Times New Roman"/>
                <w:color w:val="000000"/>
                <w:highlight w:val="none"/>
              </w:rPr>
            </w:pPr>
            <w:r>
              <w:rPr>
                <w:rFonts w:hint="default" w:ascii="Times New Roman" w:hAnsi="Times New Roman"/>
                <w:color w:val="000000"/>
                <w:highlight w:val="none"/>
              </w:rPr>
              <w:t>7</w:t>
            </w:r>
            <w:r>
              <w:rPr>
                <w:rFonts w:hint="default" w:ascii="Times New Roman" w:hAnsi="Times New Roman"/>
                <w:color w:val="000000"/>
                <w:highlight w:val="none"/>
                <w:lang w:val="en-US" w:eastAsia="zh-CN"/>
              </w:rPr>
              <w:t>.</w:t>
            </w:r>
            <w:r>
              <w:rPr>
                <w:rFonts w:hint="default" w:ascii="Times New Roman" w:hAnsi="Times New Roman" w:cs="Times New Roman"/>
                <w:color w:val="000000"/>
                <w:highlight w:val="none"/>
              </w:rPr>
              <w:t>建立消防工作考核评价体系，把考评结果作为领导干部政绩考评的重要内容。（</w:t>
            </w:r>
            <w:r>
              <w:rPr>
                <w:rFonts w:hint="default" w:ascii="Times New Roman" w:hAnsi="Times New Roman"/>
                <w:color w:val="000000"/>
                <w:highlight w:val="none"/>
              </w:rPr>
              <w:t>1</w:t>
            </w:r>
            <w:r>
              <w:rPr>
                <w:rFonts w:hint="default" w:ascii="Times New Roman" w:hAnsi="Times New Roman" w:cs="Times New Roman"/>
                <w:color w:val="000000"/>
                <w:highlight w:val="none"/>
              </w:rPr>
              <w:t>分）</w:t>
            </w:r>
          </w:p>
        </w:tc>
        <w:tc>
          <w:tcPr>
            <w:tcW w:w="6300" w:type="dxa"/>
            <w:noWrap w:val="0"/>
            <w:vAlign w:val="center"/>
          </w:tcPr>
          <w:p>
            <w:pPr>
              <w:spacing w:line="280" w:lineRule="exact"/>
              <w:rPr>
                <w:rFonts w:ascii="Times New Roman" w:hAnsi="Times New Roman" w:cs="Times New Roman"/>
                <w:color w:val="000000"/>
                <w:highlight w:val="none"/>
              </w:rPr>
            </w:pPr>
            <w:r>
              <w:rPr>
                <w:rFonts w:ascii="Times New Roman" w:hAnsi="Times New Roman"/>
                <w:color w:val="000000"/>
                <w:highlight w:val="none"/>
              </w:rPr>
              <w:t>1</w:t>
            </w:r>
            <w:r>
              <w:rPr>
                <w:rFonts w:hint="default" w:ascii="Times New Roman" w:hAnsi="Times New Roman"/>
                <w:color w:val="000000"/>
                <w:highlight w:val="none"/>
              </w:rPr>
              <w:t>0</w:t>
            </w:r>
            <w:r>
              <w:rPr>
                <w:rFonts w:hint="default" w:ascii="Times New Roman" w:hAnsi="Times New Roman" w:cs="Times New Roman"/>
                <w:color w:val="000000"/>
                <w:highlight w:val="none"/>
              </w:rPr>
              <w:t>.查阅文件，重点地区本级政府未制定消防工作考核办法的，扣</w:t>
            </w:r>
            <w:r>
              <w:rPr>
                <w:rFonts w:ascii="Times New Roman" w:hAnsi="Times New Roman"/>
                <w:color w:val="000000"/>
                <w:highlight w:val="none"/>
              </w:rPr>
              <w:t>1</w:t>
            </w:r>
            <w:r>
              <w:rPr>
                <w:rFonts w:hint="default" w:ascii="Times New Roman" w:hAnsi="Times New Roman" w:cs="Times New Roman"/>
                <w:color w:val="000000"/>
                <w:highlight w:val="none"/>
              </w:rPr>
              <w:t>分。</w:t>
            </w:r>
          </w:p>
          <w:p>
            <w:pPr>
              <w:spacing w:line="280" w:lineRule="exact"/>
              <w:rPr>
                <w:rFonts w:ascii="Times New Roman" w:hAnsi="Times New Roman"/>
                <w:color w:val="000000"/>
                <w:highlight w:val="none"/>
              </w:rPr>
            </w:pPr>
            <w:r>
              <w:rPr>
                <w:rFonts w:ascii="Times New Roman" w:hAnsi="Times New Roman"/>
                <w:color w:val="000000"/>
                <w:highlight w:val="none"/>
              </w:rPr>
              <w:t>1</w:t>
            </w:r>
            <w:r>
              <w:rPr>
                <w:rFonts w:hint="default" w:ascii="Times New Roman" w:hAnsi="Times New Roman"/>
                <w:color w:val="000000"/>
                <w:highlight w:val="none"/>
              </w:rPr>
              <w:t>1</w:t>
            </w:r>
            <w:r>
              <w:rPr>
                <w:rFonts w:hint="default" w:ascii="Times New Roman" w:hAnsi="Times New Roman" w:cs="Times New Roman"/>
                <w:color w:val="000000"/>
                <w:highlight w:val="none"/>
              </w:rPr>
              <w:t>.查阅文件，重点地区本级政府未将考核结果向干部人事部门进行通报的，扣</w:t>
            </w:r>
            <w:r>
              <w:rPr>
                <w:rFonts w:hint="default" w:ascii="Times New Roman" w:hAnsi="Times New Roman"/>
                <w:color w:val="000000"/>
                <w:highlight w:val="none"/>
              </w:rPr>
              <w:t>0.5</w:t>
            </w:r>
            <w:r>
              <w:rPr>
                <w:rFonts w:hint="default" w:ascii="Times New Roman" w:hAnsi="Times New Roman" w:cs="Times New Roman"/>
                <w:color w:val="000000"/>
                <w:highlight w:val="none"/>
              </w:rPr>
              <w:t>分。</w:t>
            </w:r>
          </w:p>
          <w:p>
            <w:pPr>
              <w:pStyle w:val="23"/>
              <w:numPr>
                <w:ilvl w:val="0"/>
                <w:numId w:val="0"/>
              </w:numPr>
              <w:spacing w:line="280" w:lineRule="exact"/>
              <w:rPr>
                <w:rFonts w:hAnsi="Times New Roman"/>
                <w:color w:val="000000"/>
                <w:highlight w:val="none"/>
              </w:rPr>
            </w:pPr>
            <w:r>
              <w:rPr>
                <w:rFonts w:hint="default" w:ascii="Times New Roman" w:hAnsi="Times New Roman" w:cs="Times New Roman"/>
                <w:color w:val="000000"/>
                <w:kern w:val="2"/>
                <w:sz w:val="21"/>
                <w:szCs w:val="22"/>
                <w:highlight w:val="none"/>
                <w:lang w:val="en-US"/>
              </w:rPr>
              <w:t>12.查阅文件，重点地区本级政府班子成员述职报告未体现消防工作的，每少1人扣0.5分，扣完为止</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ascii="Times New Roman" w:hAnsi="Times New Roman" w:cs="Times New Roman"/>
                <w:b/>
                <w:bCs/>
                <w:color w:val="000000"/>
                <w:sz w:val="24"/>
                <w:highlight w:val="none"/>
              </w:rPr>
            </w:pPr>
          </w:p>
        </w:tc>
        <w:tc>
          <w:tcPr>
            <w:tcW w:w="2700" w:type="dxa"/>
            <w:noWrap w:val="0"/>
            <w:vAlign w:val="center"/>
          </w:tcPr>
          <w:p>
            <w:pPr>
              <w:snapToGrid w:val="0"/>
              <w:spacing w:line="320" w:lineRule="exact"/>
              <w:rPr>
                <w:rFonts w:ascii="Times New Roman" w:hAnsi="Times New Roman"/>
                <w:color w:val="000000"/>
                <w:highlight w:val="none"/>
              </w:rPr>
            </w:pPr>
            <w:r>
              <w:rPr>
                <w:rFonts w:hint="default" w:ascii="Times New Roman" w:hAnsi="Times New Roman"/>
                <w:color w:val="000000"/>
                <w:highlight w:val="none"/>
              </w:rPr>
              <w:t>8</w:t>
            </w:r>
            <w:r>
              <w:rPr>
                <w:rFonts w:hint="default" w:ascii="Times New Roman" w:hAnsi="Times New Roman"/>
                <w:color w:val="000000"/>
                <w:highlight w:val="none"/>
                <w:lang w:val="en-US" w:eastAsia="zh-CN"/>
              </w:rPr>
              <w:t>.</w:t>
            </w:r>
            <w:r>
              <w:rPr>
                <w:rFonts w:hint="default" w:ascii="Times New Roman" w:hAnsi="Times New Roman" w:cs="Times New Roman"/>
                <w:color w:val="000000"/>
                <w:highlight w:val="none"/>
              </w:rPr>
              <w:t>行业部门落实</w:t>
            </w:r>
            <w:r>
              <w:rPr>
                <w:rFonts w:hint="default" w:ascii="Times New Roman" w:hAnsi="Times New Roman"/>
                <w:color w:val="000000"/>
                <w:highlight w:val="none"/>
              </w:rPr>
              <w:t>“</w:t>
            </w:r>
            <w:r>
              <w:rPr>
                <w:rFonts w:hint="default" w:ascii="Times New Roman" w:hAnsi="Times New Roman" w:cs="Times New Roman"/>
                <w:color w:val="000000"/>
                <w:highlight w:val="none"/>
              </w:rPr>
              <w:t>谁主管、谁负责</w:t>
            </w:r>
            <w:r>
              <w:rPr>
                <w:rFonts w:hint="default" w:ascii="Times New Roman" w:hAnsi="Times New Roman"/>
                <w:color w:val="000000"/>
                <w:highlight w:val="none"/>
              </w:rPr>
              <w:t>”</w:t>
            </w:r>
            <w:r>
              <w:rPr>
                <w:rFonts w:hint="default" w:ascii="Times New Roman" w:hAnsi="Times New Roman" w:cs="Times New Roman"/>
                <w:color w:val="000000"/>
                <w:highlight w:val="none"/>
              </w:rPr>
              <w:t>原则，消防安全职责明确、制度健全、措施有力。（</w:t>
            </w:r>
            <w:r>
              <w:rPr>
                <w:rFonts w:hint="default" w:ascii="Times New Roman" w:hAnsi="Times New Roman"/>
                <w:color w:val="000000"/>
                <w:highlight w:val="none"/>
              </w:rPr>
              <w:t>1</w:t>
            </w:r>
            <w:r>
              <w:rPr>
                <w:rFonts w:hint="default" w:ascii="Times New Roman" w:hAnsi="Times New Roman" w:cs="Times New Roman"/>
                <w:color w:val="000000"/>
                <w:highlight w:val="none"/>
              </w:rPr>
              <w:t>分）</w:t>
            </w:r>
          </w:p>
        </w:tc>
        <w:tc>
          <w:tcPr>
            <w:tcW w:w="6300" w:type="dxa"/>
            <w:noWrap w:val="0"/>
            <w:vAlign w:val="center"/>
          </w:tcPr>
          <w:p>
            <w:pPr>
              <w:spacing w:line="280" w:lineRule="exact"/>
              <w:rPr>
                <w:rFonts w:ascii="Times New Roman" w:hAnsi="Times New Roman"/>
                <w:color w:val="000000"/>
                <w:highlight w:val="none"/>
              </w:rPr>
            </w:pPr>
            <w:r>
              <w:rPr>
                <w:rFonts w:ascii="Times New Roman" w:hAnsi="Times New Roman"/>
                <w:color w:val="000000"/>
                <w:highlight w:val="none"/>
              </w:rPr>
              <w:t>1</w:t>
            </w:r>
            <w:r>
              <w:rPr>
                <w:rFonts w:ascii="Times New Roman" w:hAnsi="Times New Roman"/>
                <w:color w:val="000000"/>
                <w:highlight w:val="none"/>
                <w:lang w:val="en-US"/>
              </w:rPr>
              <w:t>3</w:t>
            </w:r>
            <w:r>
              <w:rPr>
                <w:rFonts w:hint="default" w:ascii="Times New Roman" w:hAnsi="Times New Roman" w:cs="Times New Roman"/>
                <w:color w:val="000000"/>
                <w:highlight w:val="none"/>
              </w:rPr>
              <w:t>.查看档案资料，重点地区本级政府教育、</w:t>
            </w:r>
            <w:r>
              <w:rPr>
                <w:rFonts w:hint="default" w:ascii="Times New Roman" w:hAnsi="Times New Roman" w:cs="Times New Roman"/>
                <w:color w:val="000000"/>
                <w:highlight w:val="none"/>
                <w:lang w:val="en-US"/>
              </w:rPr>
              <w:t>公安、</w:t>
            </w:r>
            <w:r>
              <w:rPr>
                <w:rFonts w:hint="default" w:ascii="Times New Roman" w:hAnsi="Times New Roman" w:cs="Times New Roman"/>
                <w:color w:val="000000"/>
                <w:highlight w:val="none"/>
              </w:rPr>
              <w:t>民政、住建、文化和旅游、卫健等部门未结合实际明确消防工作责任、制定工作制度、开展专项整治、防火检查的，每少</w:t>
            </w:r>
            <w:r>
              <w:rPr>
                <w:rFonts w:ascii="Times New Roman" w:hAnsi="Times New Roman"/>
                <w:color w:val="000000"/>
                <w:highlight w:val="none"/>
              </w:rPr>
              <w:t>1</w:t>
            </w:r>
            <w:r>
              <w:rPr>
                <w:rFonts w:hint="default" w:ascii="Times New Roman" w:hAnsi="Times New Roman" w:cs="Times New Roman"/>
                <w:color w:val="000000"/>
                <w:highlight w:val="none"/>
              </w:rPr>
              <w:t>个部门或</w:t>
            </w:r>
            <w:r>
              <w:rPr>
                <w:rFonts w:ascii="Times New Roman" w:hAnsi="Times New Roman"/>
                <w:color w:val="000000"/>
                <w:highlight w:val="none"/>
              </w:rPr>
              <w:t>1</w:t>
            </w:r>
            <w:r>
              <w:rPr>
                <w:rFonts w:hint="default" w:ascii="Times New Roman" w:hAnsi="Times New Roman" w:cs="Times New Roman"/>
                <w:color w:val="000000"/>
                <w:highlight w:val="none"/>
              </w:rPr>
              <w:t>项扣</w:t>
            </w:r>
            <w:r>
              <w:rPr>
                <w:rFonts w:ascii="Times New Roman" w:hAnsi="Times New Roman"/>
                <w:color w:val="000000"/>
                <w:highlight w:val="none"/>
              </w:rPr>
              <w:t>0.</w:t>
            </w:r>
            <w:r>
              <w:rPr>
                <w:rFonts w:hint="default" w:ascii="Times New Roman" w:hAnsi="Times New Roman"/>
                <w:color w:val="000000"/>
                <w:highlight w:val="none"/>
              </w:rPr>
              <w:t>5</w:t>
            </w:r>
            <w:r>
              <w:rPr>
                <w:rFonts w:hint="default" w:ascii="Times New Roman" w:hAnsi="Times New Roman" w:cs="Times New Roman"/>
                <w:color w:val="000000"/>
                <w:highlight w:val="none"/>
              </w:rPr>
              <w:t>分。（镇街、社区未设立相关行业部门的，由上一级政府相关行业部门落实）</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continue"/>
            <w:noWrap w:val="0"/>
            <w:vAlign w:val="center"/>
          </w:tcPr>
          <w:p>
            <w:pPr>
              <w:jc w:val="center"/>
              <w:rPr>
                <w:rFonts w:ascii="Times New Roman" w:hAnsi="Times New Roman" w:cs="Times New Roman"/>
                <w:b/>
                <w:bCs/>
                <w:color w:val="000000"/>
                <w:sz w:val="24"/>
                <w:highlight w:val="none"/>
              </w:rPr>
            </w:pPr>
          </w:p>
        </w:tc>
        <w:tc>
          <w:tcPr>
            <w:tcW w:w="2700" w:type="dxa"/>
            <w:noWrap w:val="0"/>
            <w:vAlign w:val="center"/>
          </w:tcPr>
          <w:p>
            <w:pPr>
              <w:snapToGrid w:val="0"/>
              <w:spacing w:line="320" w:lineRule="exact"/>
              <w:rPr>
                <w:rFonts w:ascii="Times New Roman" w:hAnsi="Times New Roman"/>
                <w:color w:val="000000"/>
                <w:highlight w:val="none"/>
              </w:rPr>
            </w:pPr>
            <w:r>
              <w:rPr>
                <w:rFonts w:hint="default" w:ascii="Times New Roman" w:hAnsi="Times New Roman"/>
                <w:color w:val="000000"/>
                <w:highlight w:val="none"/>
              </w:rPr>
              <w:t>9</w:t>
            </w:r>
            <w:r>
              <w:rPr>
                <w:rFonts w:hint="default" w:ascii="Times New Roman" w:hAnsi="Times New Roman"/>
                <w:color w:val="000000"/>
                <w:highlight w:val="none"/>
                <w:lang w:val="en-US" w:eastAsia="zh-CN"/>
              </w:rPr>
              <w:t>.</w:t>
            </w:r>
            <w:r>
              <w:rPr>
                <w:rFonts w:hint="default" w:ascii="Times New Roman" w:hAnsi="Times New Roman" w:cs="Times New Roman"/>
                <w:color w:val="000000"/>
                <w:highlight w:val="none"/>
              </w:rPr>
              <w:t>逐级落实整治工作责任（</w:t>
            </w:r>
            <w:r>
              <w:rPr>
                <w:rFonts w:hint="default" w:ascii="Times New Roman" w:hAnsi="Times New Roman"/>
                <w:color w:val="000000"/>
                <w:highlight w:val="none"/>
                <w:lang w:val="en-US"/>
              </w:rPr>
              <w:t>2</w:t>
            </w:r>
            <w:r>
              <w:rPr>
                <w:rFonts w:hint="default" w:ascii="Times New Roman" w:hAnsi="Times New Roman" w:cs="Times New Roman"/>
                <w:color w:val="000000"/>
                <w:highlight w:val="none"/>
              </w:rPr>
              <w:t>分）</w:t>
            </w:r>
          </w:p>
        </w:tc>
        <w:tc>
          <w:tcPr>
            <w:tcW w:w="6300" w:type="dxa"/>
            <w:noWrap w:val="0"/>
            <w:vAlign w:val="center"/>
          </w:tcPr>
          <w:p>
            <w:pPr>
              <w:spacing w:line="320" w:lineRule="exact"/>
              <w:rPr>
                <w:rFonts w:ascii="Times New Roman" w:hAnsi="Times New Roman" w:cs="Times New Roman"/>
                <w:color w:val="000000"/>
                <w:highlight w:val="none"/>
              </w:rPr>
            </w:pPr>
            <w:r>
              <w:rPr>
                <w:rFonts w:ascii="Times New Roman" w:hAnsi="Times New Roman" w:cs="Times New Roman"/>
                <w:color w:val="000000"/>
                <w:highlight w:val="none"/>
              </w:rPr>
              <w:t>1</w:t>
            </w:r>
            <w:r>
              <w:rPr>
                <w:rFonts w:ascii="Times New Roman" w:hAnsi="Times New Roman" w:cs="Times New Roman"/>
                <w:color w:val="000000"/>
                <w:highlight w:val="none"/>
                <w:lang w:val="en-US"/>
              </w:rPr>
              <w:t>4</w:t>
            </w:r>
            <w:r>
              <w:rPr>
                <w:rFonts w:hint="default" w:ascii="Times New Roman" w:hAnsi="Times New Roman" w:cs="Times New Roman"/>
                <w:color w:val="000000"/>
                <w:highlight w:val="none"/>
              </w:rPr>
              <w:t>.查看文件，重点地区本级政府与下级村（社区）未明确整治工作责任人的，缺少</w:t>
            </w:r>
            <w:r>
              <w:rPr>
                <w:rFonts w:ascii="Times New Roman" w:hAnsi="Times New Roman" w:cs="Times New Roman"/>
                <w:color w:val="000000"/>
                <w:highlight w:val="none"/>
              </w:rPr>
              <w:t>1</w:t>
            </w:r>
            <w:r>
              <w:rPr>
                <w:rFonts w:hint="default" w:ascii="Times New Roman" w:hAnsi="Times New Roman" w:cs="Times New Roman"/>
                <w:color w:val="000000"/>
                <w:highlight w:val="none"/>
              </w:rPr>
              <w:t>个扣0.</w:t>
            </w:r>
            <w:r>
              <w:rPr>
                <w:rFonts w:hint="default" w:ascii="Times New Roman" w:hAnsi="Times New Roman" w:cs="Times New Roman"/>
                <w:color w:val="000000"/>
                <w:highlight w:val="none"/>
                <w:lang w:val="en-US"/>
              </w:rPr>
              <w:t>5</w:t>
            </w:r>
            <w:r>
              <w:rPr>
                <w:rFonts w:hint="default" w:ascii="Times New Roman" w:hAnsi="Times New Roman" w:cs="Times New Roman"/>
                <w:color w:val="000000"/>
                <w:highlight w:val="none"/>
              </w:rPr>
              <w:t>分。</w:t>
            </w:r>
            <w:r>
              <w:rPr>
                <w:rFonts w:hint="default" w:ascii="Times New Roman" w:hAnsi="Times New Roman" w:cs="Times New Roman"/>
                <w:color w:val="000000"/>
                <w:highlight w:val="none"/>
                <w:lang w:val="en-US"/>
              </w:rPr>
              <w:t>未成立工作专班并实体化运行的，扣1分；工作专班中无政府人员参与的，扣0.5分。</w:t>
            </w:r>
          </w:p>
          <w:p>
            <w:pPr>
              <w:pStyle w:val="23"/>
              <w:numPr>
                <w:ilvl w:val="0"/>
                <w:numId w:val="0"/>
              </w:numPr>
              <w:spacing w:line="320" w:lineRule="exact"/>
              <w:rPr>
                <w:rFonts w:hAnsi="Times New Roman" w:cs="Times New Roman"/>
                <w:color w:val="000000"/>
                <w:highlight w:val="none"/>
              </w:rPr>
            </w:pPr>
            <w:r>
              <w:rPr>
                <w:rFonts w:ascii="Times New Roman" w:hAnsi="Times New Roman" w:cs="Times New Roman"/>
                <w:color w:val="000000"/>
                <w:kern w:val="2"/>
                <w:sz w:val="21"/>
                <w:szCs w:val="22"/>
                <w:highlight w:val="none"/>
                <w:lang w:val="en-US"/>
              </w:rPr>
              <w:t>15.核对火灾数据统计、火灾事故调查和实地评估检查情况，发现同一年度内省、市消防安全专项整治措施落实不到位，导致发生亡人或有影响火灾事故的，扣2分；未发生火灾事故，但2处（含）以下消防安全专项整治对象存在既定整治问题的，扣1分，3处（含）以上消防安全专项整治对象存在既定整治问题的，扣2分。</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Merge w:val="restart"/>
            <w:noWrap w:val="0"/>
            <w:vAlign w:val="center"/>
          </w:tcPr>
          <w:p>
            <w:pPr>
              <w:widowControl/>
              <w:jc w:val="center"/>
              <w:rPr>
                <w:rFonts w:ascii="Times New Roman" w:hAnsi="Times New Roman" w:cs="Times New Roman"/>
                <w:b/>
                <w:color w:val="000000"/>
                <w:kern w:val="0"/>
                <w:sz w:val="24"/>
                <w:highlight w:val="none"/>
              </w:rPr>
            </w:pPr>
            <w:r>
              <w:rPr>
                <w:rFonts w:hint="default" w:ascii="Times New Roman" w:hAnsi="Times New Roman" w:cs="Times New Roman"/>
                <w:b/>
                <w:color w:val="000000"/>
                <w:kern w:val="0"/>
                <w:sz w:val="24"/>
                <w:highlight w:val="none"/>
              </w:rPr>
              <w:t>消防工作基础</w:t>
            </w:r>
          </w:p>
          <w:p>
            <w:pPr>
              <w:jc w:val="center"/>
              <w:rPr>
                <w:rFonts w:ascii="Times New Roman" w:hAnsi="Times New Roman" w:cs="Times New Roman"/>
                <w:b/>
                <w:bCs/>
                <w:color w:val="000000"/>
                <w:sz w:val="24"/>
                <w:highlight w:val="none"/>
              </w:rPr>
            </w:pPr>
            <w:r>
              <w:rPr>
                <w:rFonts w:hint="default" w:ascii="Times New Roman" w:hAnsi="Times New Roman" w:cs="Times New Roman"/>
                <w:b/>
                <w:color w:val="000000"/>
                <w:kern w:val="0"/>
                <w:sz w:val="24"/>
                <w:highlight w:val="none"/>
              </w:rPr>
              <w:t>（</w:t>
            </w:r>
            <w:r>
              <w:rPr>
                <w:rFonts w:hint="default" w:ascii="Times New Roman" w:hAnsi="Times New Roman" w:cs="Times New Roman"/>
                <w:b/>
                <w:color w:val="000000"/>
                <w:kern w:val="0"/>
                <w:sz w:val="24"/>
                <w:highlight w:val="none"/>
                <w:lang w:val="en-US" w:eastAsia="zh-CN"/>
              </w:rPr>
              <w:t>2</w:t>
            </w:r>
            <w:r>
              <w:rPr>
                <w:rFonts w:hint="default" w:ascii="Times New Roman" w:hAnsi="Times New Roman" w:cs="Times New Roman"/>
                <w:b/>
                <w:color w:val="000000"/>
                <w:kern w:val="0"/>
                <w:sz w:val="24"/>
                <w:highlight w:val="none"/>
              </w:rPr>
              <w:t>分）</w:t>
            </w:r>
          </w:p>
        </w:tc>
        <w:tc>
          <w:tcPr>
            <w:tcW w:w="2700" w:type="dxa"/>
            <w:vMerge w:val="restart"/>
            <w:noWrap w:val="0"/>
            <w:vAlign w:val="center"/>
          </w:tcPr>
          <w:p>
            <w:pPr>
              <w:numPr>
                <w:ilvl w:val="0"/>
                <w:numId w:val="7"/>
              </w:numPr>
              <w:spacing w:line="320" w:lineRule="exact"/>
              <w:jc w:val="left"/>
              <w:rPr>
                <w:rFonts w:hint="default" w:ascii="Times New Roman" w:hAnsi="Times New Roman" w:cs="Times New Roman"/>
                <w:color w:val="000000"/>
                <w:highlight w:val="none"/>
              </w:rPr>
            </w:pPr>
            <w:r>
              <w:rPr>
                <w:rFonts w:hint="default" w:ascii="Times New Roman" w:hAnsi="Times New Roman" w:cs="Times New Roman"/>
                <w:color w:val="000000"/>
                <w:highlight w:val="none"/>
              </w:rPr>
              <w:t>公共消防设施建设。</w:t>
            </w:r>
          </w:p>
          <w:p>
            <w:pPr>
              <w:numPr>
                <w:ilvl w:val="0"/>
                <w:numId w:val="0"/>
              </w:numPr>
              <w:spacing w:line="320" w:lineRule="exact"/>
              <w:jc w:val="left"/>
              <w:rPr>
                <w:rFonts w:ascii="Times New Roman" w:hAnsi="Times New Roman" w:cs="Times New Roman"/>
                <w:color w:val="000000"/>
                <w:highlight w:val="none"/>
              </w:rPr>
            </w:pPr>
            <w:r>
              <w:rPr>
                <w:rFonts w:hint="default" w:ascii="Times New Roman" w:hAnsi="Times New Roman" w:cs="Times New Roman"/>
                <w:color w:val="000000"/>
                <w:highlight w:val="none"/>
              </w:rPr>
              <w:t>（2分）</w:t>
            </w:r>
          </w:p>
        </w:tc>
        <w:tc>
          <w:tcPr>
            <w:tcW w:w="6300" w:type="dxa"/>
            <w:noWrap w:val="0"/>
            <w:vAlign w:val="center"/>
          </w:tcPr>
          <w:p>
            <w:pPr>
              <w:spacing w:line="320" w:lineRule="exact"/>
              <w:jc w:val="left"/>
              <w:rPr>
                <w:rFonts w:ascii="Times New Roman" w:hAnsi="Times New Roman" w:cs="Times New Roman"/>
                <w:color w:val="000000"/>
                <w:highlight w:val="none"/>
              </w:rPr>
            </w:pPr>
            <w:r>
              <w:rPr>
                <w:rFonts w:hint="default" w:ascii="Times New Roman" w:hAnsi="Times New Roman" w:cs="Times New Roman"/>
                <w:color w:val="000000"/>
                <w:highlight w:val="none"/>
              </w:rPr>
              <w:t>1</w:t>
            </w:r>
            <w:r>
              <w:rPr>
                <w:rFonts w:hint="default" w:ascii="Times New Roman" w:hAnsi="Times New Roman" w:cs="Times New Roman"/>
                <w:color w:val="000000"/>
                <w:highlight w:val="none"/>
                <w:lang w:val="en-US"/>
              </w:rPr>
              <w:t>6.</w:t>
            </w:r>
            <w:r>
              <w:rPr>
                <w:rFonts w:hint="default" w:ascii="Times New Roman" w:hAnsi="Times New Roman" w:cs="Times New Roman"/>
                <w:color w:val="000000"/>
                <w:highlight w:val="none"/>
              </w:rPr>
              <w:t>查看规划原本，重点地区无消防专项规划或消防专篇的，扣</w:t>
            </w:r>
            <w:r>
              <w:rPr>
                <w:rFonts w:hint="eastAsia" w:ascii="Times New Roman" w:hAnsi="Times New Roman" w:cs="Times New Roman"/>
                <w:color w:val="000000"/>
                <w:highlight w:val="none"/>
                <w:lang w:val="en-US" w:eastAsia="zh-CN"/>
              </w:rPr>
              <w:t>0.5</w:t>
            </w:r>
            <w:r>
              <w:rPr>
                <w:rFonts w:hint="default" w:ascii="Times New Roman" w:hAnsi="Times New Roman" w:cs="Times New Roman"/>
                <w:color w:val="000000"/>
                <w:highlight w:val="none"/>
              </w:rPr>
              <w:t>分（街道、工业园所在行政区无消防规划许可权的，查看市级消防专项规划）；消防规划到期未及时修订的，扣</w:t>
            </w:r>
            <w:r>
              <w:rPr>
                <w:rFonts w:hint="eastAsia" w:ascii="Times New Roman" w:hAnsi="Times New Roman" w:cs="Times New Roman"/>
                <w:color w:val="000000"/>
                <w:highlight w:val="none"/>
                <w:lang w:val="en-US" w:eastAsia="zh-CN"/>
              </w:rPr>
              <w:t>0.5</w:t>
            </w:r>
            <w:r>
              <w:rPr>
                <w:rFonts w:hint="default" w:ascii="Times New Roman" w:hAnsi="Times New Roman" w:cs="Times New Roman"/>
                <w:color w:val="000000"/>
                <w:highlight w:val="none"/>
              </w:rPr>
              <w:t>分。</w:t>
            </w:r>
          </w:p>
          <w:p>
            <w:pPr>
              <w:spacing w:line="320" w:lineRule="exact"/>
              <w:jc w:val="left"/>
              <w:rPr>
                <w:rFonts w:ascii="Times New Roman" w:hAnsi="Times New Roman" w:cs="Times New Roman"/>
                <w:color w:val="000000"/>
                <w:highlight w:val="none"/>
              </w:rPr>
            </w:pPr>
            <w:r>
              <w:rPr>
                <w:rFonts w:hint="default" w:ascii="Times New Roman" w:hAnsi="Times New Roman" w:cs="Times New Roman"/>
                <w:color w:val="000000"/>
                <w:highlight w:val="none"/>
              </w:rPr>
              <w:t>1</w:t>
            </w:r>
            <w:r>
              <w:rPr>
                <w:rFonts w:hint="default" w:ascii="Times New Roman" w:hAnsi="Times New Roman" w:cs="Times New Roman"/>
                <w:color w:val="000000"/>
                <w:highlight w:val="none"/>
                <w:lang w:val="en-US"/>
              </w:rPr>
              <w:t>7</w:t>
            </w:r>
            <w:r>
              <w:rPr>
                <w:rFonts w:hint="default" w:ascii="Times New Roman" w:hAnsi="Times New Roman" w:cs="Times New Roman"/>
                <w:color w:val="000000"/>
                <w:highlight w:val="none"/>
              </w:rPr>
              <w:t>.查看批复文件，消防规划未经上一级政府批准的，扣0.</w:t>
            </w:r>
            <w:r>
              <w:rPr>
                <w:rFonts w:hint="eastAsia" w:ascii="Times New Roman" w:hAnsi="Times New Roman" w:cs="Times New Roman"/>
                <w:color w:val="000000"/>
                <w:highlight w:val="none"/>
                <w:lang w:val="en-US" w:eastAsia="zh-CN"/>
              </w:rPr>
              <w:t>2</w:t>
            </w:r>
            <w:r>
              <w:rPr>
                <w:rFonts w:hint="default" w:ascii="Times New Roman" w:hAnsi="Times New Roman" w:cs="Times New Roman"/>
                <w:color w:val="000000"/>
                <w:highlight w:val="none"/>
              </w:rPr>
              <w:t>分。</w:t>
            </w:r>
          </w:p>
          <w:p>
            <w:pPr>
              <w:pStyle w:val="23"/>
              <w:numPr>
                <w:ilvl w:val="0"/>
                <w:numId w:val="0"/>
              </w:numPr>
              <w:spacing w:line="320" w:lineRule="exact"/>
              <w:jc w:val="left"/>
              <w:rPr>
                <w:rFonts w:ascii="Times New Roman" w:hAnsi="Times New Roman" w:cs="Times New Roman"/>
                <w:color w:val="000000"/>
                <w:kern w:val="2"/>
                <w:sz w:val="21"/>
                <w:szCs w:val="22"/>
                <w:highlight w:val="none"/>
              </w:rPr>
            </w:pPr>
            <w:r>
              <w:rPr>
                <w:rFonts w:hint="default" w:ascii="Times New Roman" w:hAnsi="Times New Roman" w:cs="Times New Roman"/>
                <w:color w:val="000000"/>
                <w:kern w:val="2"/>
                <w:sz w:val="21"/>
                <w:szCs w:val="22"/>
                <w:highlight w:val="none"/>
                <w:lang w:val="en-US"/>
              </w:rPr>
              <w:t>18.查看档案台账，消防规划年度任务指标未落实，且无客观因素或不可抗力事由证明的，扣</w:t>
            </w:r>
            <w:r>
              <w:rPr>
                <w:rFonts w:hint="eastAsia" w:cs="Times New Roman"/>
                <w:color w:val="000000"/>
                <w:kern w:val="2"/>
                <w:sz w:val="21"/>
                <w:szCs w:val="22"/>
                <w:highlight w:val="none"/>
                <w:lang w:val="en-US" w:eastAsia="zh-CN"/>
              </w:rPr>
              <w:t>0.2</w:t>
            </w:r>
            <w:r>
              <w:rPr>
                <w:rFonts w:hint="default" w:ascii="Times New Roman" w:hAnsi="Times New Roman" w:cs="Times New Roman"/>
                <w:color w:val="000000"/>
                <w:kern w:val="2"/>
                <w:sz w:val="21"/>
                <w:szCs w:val="22"/>
                <w:highlight w:val="none"/>
                <w:lang w:val="en-US"/>
              </w:rPr>
              <w:t>分。</w:t>
            </w:r>
          </w:p>
          <w:p>
            <w:pPr>
              <w:spacing w:line="320" w:lineRule="exact"/>
              <w:jc w:val="left"/>
              <w:rPr>
                <w:rFonts w:ascii="Times New Roman" w:hAnsi="Times New Roman" w:cs="Times New Roman"/>
                <w:color w:val="000000"/>
                <w:highlight w:val="none"/>
              </w:rPr>
            </w:pPr>
            <w:r>
              <w:rPr>
                <w:rFonts w:hint="default" w:ascii="Times New Roman" w:hAnsi="Times New Roman" w:cs="Times New Roman"/>
                <w:color w:val="000000"/>
                <w:highlight w:val="none"/>
              </w:rPr>
              <w:t>1</w:t>
            </w:r>
            <w:r>
              <w:rPr>
                <w:rFonts w:hint="default" w:ascii="Times New Roman" w:hAnsi="Times New Roman" w:cs="Times New Roman"/>
                <w:color w:val="000000"/>
                <w:highlight w:val="none"/>
                <w:lang w:val="en-US"/>
              </w:rPr>
              <w:t>9</w:t>
            </w:r>
            <w:r>
              <w:rPr>
                <w:rFonts w:hint="default" w:ascii="Times New Roman" w:hAnsi="Times New Roman" w:cs="Times New Roman"/>
                <w:color w:val="000000"/>
                <w:highlight w:val="none"/>
              </w:rPr>
              <w:t>.查看文件、档案台账，重点地区本级政府未出台文件全面落实市政消火栓建设、维护和管理责任的，扣</w:t>
            </w:r>
            <w:r>
              <w:rPr>
                <w:rFonts w:hint="eastAsia" w:ascii="Times New Roman" w:hAnsi="Times New Roman" w:cs="Times New Roman"/>
                <w:color w:val="000000"/>
                <w:highlight w:val="none"/>
                <w:lang w:val="en-US" w:eastAsia="zh-CN"/>
              </w:rPr>
              <w:t>0.2</w:t>
            </w:r>
            <w:r>
              <w:rPr>
                <w:rFonts w:hint="default" w:ascii="Times New Roman" w:hAnsi="Times New Roman" w:cs="Times New Roman"/>
                <w:color w:val="000000"/>
                <w:highlight w:val="none"/>
              </w:rPr>
              <w:t>分。</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Merge w:val="continue"/>
            <w:noWrap w:val="0"/>
            <w:vAlign w:val="center"/>
          </w:tcPr>
          <w:p>
            <w:pPr>
              <w:widowControl/>
              <w:jc w:val="center"/>
              <w:rPr>
                <w:rFonts w:hint="default" w:ascii="Times New Roman" w:hAnsi="Times New Roman" w:cs="Times New Roman"/>
                <w:b/>
                <w:color w:val="000000"/>
                <w:kern w:val="0"/>
                <w:sz w:val="24"/>
                <w:highlight w:val="none"/>
              </w:rPr>
            </w:pPr>
          </w:p>
        </w:tc>
        <w:tc>
          <w:tcPr>
            <w:tcW w:w="2700" w:type="dxa"/>
            <w:vMerge w:val="continue"/>
            <w:noWrap w:val="0"/>
            <w:vAlign w:val="center"/>
          </w:tcPr>
          <w:p>
            <w:pPr>
              <w:spacing w:line="320" w:lineRule="exact"/>
              <w:jc w:val="left"/>
              <w:rPr>
                <w:rFonts w:ascii="Times New Roman" w:hAnsi="Times New Roman" w:cs="Times New Roman"/>
                <w:color w:val="000000"/>
                <w:highlight w:val="none"/>
              </w:rPr>
            </w:pPr>
          </w:p>
        </w:tc>
        <w:tc>
          <w:tcPr>
            <w:tcW w:w="6300" w:type="dxa"/>
            <w:noWrap w:val="0"/>
            <w:vAlign w:val="center"/>
          </w:tcPr>
          <w:p>
            <w:pPr>
              <w:numPr>
                <w:ilvl w:val="0"/>
                <w:numId w:val="8"/>
              </w:numPr>
              <w:spacing w:line="320" w:lineRule="exact"/>
              <w:ind w:left="0" w:firstLine="0"/>
              <w:jc w:val="left"/>
              <w:rPr>
                <w:rFonts w:hint="default" w:ascii="Times New Roman" w:hAnsi="Times New Roman"/>
                <w:highlight w:val="none"/>
              </w:rPr>
            </w:pPr>
            <w:r>
              <w:rPr>
                <w:rFonts w:hint="default" w:ascii="Times New Roman" w:hAnsi="Times New Roman"/>
                <w:highlight w:val="none"/>
              </w:rPr>
              <w:t>查看文件、档案台账，重点地区本级政府未将陈旧老化电气线路更新改造（电表、电线、电箱）纳入重点地区整治内容的，扣</w:t>
            </w:r>
            <w:r>
              <w:rPr>
                <w:rFonts w:hint="eastAsia" w:ascii="Times New Roman" w:hAnsi="Times New Roman"/>
                <w:highlight w:val="none"/>
                <w:lang w:val="en-US" w:eastAsia="zh-CN"/>
              </w:rPr>
              <w:t>0.1</w:t>
            </w:r>
            <w:r>
              <w:rPr>
                <w:rFonts w:hint="default" w:ascii="Times New Roman" w:hAnsi="Times New Roman"/>
                <w:highlight w:val="none"/>
              </w:rPr>
              <w:t>分；</w:t>
            </w:r>
          </w:p>
          <w:p>
            <w:pPr>
              <w:numPr>
                <w:ilvl w:val="0"/>
                <w:numId w:val="0"/>
              </w:numPr>
              <w:spacing w:line="320" w:lineRule="exact"/>
              <w:ind w:leftChars="0"/>
              <w:jc w:val="left"/>
              <w:rPr>
                <w:rFonts w:hint="default" w:ascii="Times New Roman" w:hAnsi="Times New Roman" w:eastAsia="宋体"/>
                <w:highlight w:val="none"/>
                <w:lang w:val="en-US" w:eastAsia="zh-CN"/>
              </w:rPr>
            </w:pPr>
            <w:r>
              <w:rPr>
                <w:rFonts w:hint="default" w:ascii="Times New Roman" w:hAnsi="Times New Roman"/>
                <w:highlight w:val="none"/>
                <w:lang w:val="en-US"/>
              </w:rPr>
              <w:t>21.</w:t>
            </w:r>
            <w:r>
              <w:rPr>
                <w:rFonts w:hint="default" w:ascii="Times New Roman" w:hAnsi="Times New Roman" w:eastAsia="宋体"/>
                <w:color w:val="auto"/>
                <w:highlight w:val="none"/>
                <w:lang w:val="en-US" w:eastAsia="zh-CN"/>
              </w:rPr>
              <w:t>查看文件，重点地区本级政府未将电动自行车停放充电场所建设纳入民生工程范畴的，扣</w:t>
            </w:r>
            <w:r>
              <w:rPr>
                <w:rFonts w:hint="eastAsia" w:ascii="Times New Roman" w:hAnsi="Times New Roman"/>
                <w:color w:val="auto"/>
                <w:highlight w:val="none"/>
                <w:lang w:val="en-US" w:eastAsia="zh-CN"/>
              </w:rPr>
              <w:t>0.1</w:t>
            </w:r>
            <w:r>
              <w:rPr>
                <w:rFonts w:hint="default" w:ascii="Times New Roman" w:hAnsi="Times New Roman" w:eastAsia="宋体"/>
                <w:color w:val="auto"/>
                <w:highlight w:val="none"/>
                <w:lang w:val="en-US" w:eastAsia="zh-CN"/>
              </w:rPr>
              <w:t>分。</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Merge w:val="continue"/>
            <w:noWrap w:val="0"/>
            <w:vAlign w:val="center"/>
          </w:tcPr>
          <w:p>
            <w:pPr>
              <w:widowControl/>
              <w:jc w:val="center"/>
              <w:rPr>
                <w:rFonts w:hint="default" w:ascii="Times New Roman" w:hAnsi="Times New Roman" w:cs="Times New Roman"/>
                <w:b/>
                <w:color w:val="000000"/>
                <w:kern w:val="0"/>
                <w:sz w:val="24"/>
                <w:highlight w:val="none"/>
              </w:rPr>
            </w:pPr>
          </w:p>
        </w:tc>
        <w:tc>
          <w:tcPr>
            <w:tcW w:w="2700" w:type="dxa"/>
            <w:noWrap w:val="0"/>
            <w:vAlign w:val="center"/>
          </w:tcPr>
          <w:p>
            <w:pPr>
              <w:spacing w:line="320" w:lineRule="exact"/>
              <w:jc w:val="left"/>
              <w:rPr>
                <w:rFonts w:ascii="Times New Roman" w:hAnsi="Times New Roman" w:cs="Times New Roman"/>
                <w:color w:val="000000"/>
                <w:highlight w:val="none"/>
              </w:rPr>
            </w:pPr>
          </w:p>
        </w:tc>
        <w:tc>
          <w:tcPr>
            <w:tcW w:w="6300" w:type="dxa"/>
            <w:noWrap w:val="0"/>
            <w:vAlign w:val="center"/>
          </w:tcPr>
          <w:p>
            <w:pPr>
              <w:numPr>
                <w:ilvl w:val="0"/>
                <w:numId w:val="0"/>
              </w:numPr>
              <w:tabs>
                <w:tab w:val="left" w:pos="312"/>
              </w:tabs>
              <w:spacing w:line="320" w:lineRule="exact"/>
              <w:ind w:left="0" w:firstLine="0"/>
              <w:jc w:val="left"/>
              <w:rPr>
                <w:rFonts w:hint="default" w:ascii="Times New Roman" w:hAnsi="Times New Roman" w:eastAsia="宋体"/>
                <w:highlight w:val="none"/>
                <w:lang w:val="en-US" w:eastAsia="zh-CN"/>
              </w:rPr>
            </w:pPr>
            <w:r>
              <w:rPr>
                <w:rFonts w:hint="eastAsia" w:ascii="Times New Roman" w:hAnsi="Times New Roman"/>
                <w:highlight w:val="none"/>
                <w:lang w:val="en-US" w:eastAsia="zh-CN"/>
              </w:rPr>
              <w:t>22.</w:t>
            </w:r>
            <w:r>
              <w:rPr>
                <w:rFonts w:hint="default" w:ascii="Times New Roman" w:hAnsi="Times New Roman"/>
                <w:highlight w:val="none"/>
              </w:rPr>
              <w:t>查看文件、档案台账</w:t>
            </w:r>
            <w:r>
              <w:rPr>
                <w:rFonts w:hint="eastAsia" w:ascii="Times New Roman" w:hAnsi="Times New Roman"/>
                <w:highlight w:val="none"/>
                <w:lang w:eastAsia="zh-CN"/>
              </w:rPr>
              <w:t>。</w:t>
            </w:r>
            <w:r>
              <w:rPr>
                <w:rFonts w:hint="eastAsia" w:ascii="Times New Roman" w:hAnsi="Times New Roman"/>
                <w:highlight w:val="none"/>
                <w:lang w:val="en-US" w:eastAsia="zh-CN"/>
              </w:rPr>
              <w:t>强化消防科技支撑。未推动“三小”场所、出租屋、高层住宅等推广安装联网式无线火灾报警器，实行智能化监督管理。推广运用消防车道视频监控、电动自行车入室入梯感知报警、安全用电监控、室内消防给水管网水压监控、市政消火栓定位系统等消防安全技防，构建火灾防范信息化管理体系,实现重点监管区域智能分析，实现消防安全精准治理、精准防控的，扣0.2分。</w:t>
            </w:r>
          </w:p>
        </w:tc>
        <w:tc>
          <w:tcPr>
            <w:tcW w:w="1980" w:type="dxa"/>
            <w:noWrap w:val="0"/>
            <w:vAlign w:val="top"/>
          </w:tcPr>
          <w:p>
            <w:pPr>
              <w:rPr>
                <w:rFonts w:ascii="Times New Roman" w:hAnsi="Times New Roman" w:cs="Times New Roman"/>
                <w:b/>
                <w:bCs/>
                <w:color w:val="000000"/>
                <w:sz w:val="24"/>
                <w:highlight w:val="none"/>
              </w:rPr>
            </w:pPr>
          </w:p>
        </w:tc>
        <w:tc>
          <w:tcPr>
            <w:tcW w:w="1800" w:type="dxa"/>
            <w:noWrap w:val="0"/>
            <w:vAlign w:val="top"/>
          </w:tcPr>
          <w:p>
            <w:pPr>
              <w:rPr>
                <w:rFonts w:ascii="Times New Roman" w:hAnsi="Times New Roman" w:cs="Times New Roman"/>
                <w:b/>
                <w:bCs/>
                <w:color w:val="000000"/>
                <w:sz w:val="24"/>
                <w:highlight w:val="none"/>
              </w:rPr>
            </w:pPr>
          </w:p>
        </w:tc>
      </w:tr>
    </w:tbl>
    <w:p>
      <w:pPr>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宋体" w:cs="Times New Roman"/>
          <w:b/>
          <w:bCs/>
          <w:color w:val="000000"/>
          <w:highlight w:val="none"/>
        </w:rPr>
        <w:br w:type="page"/>
      </w:r>
    </w:p>
    <w:p>
      <w:pPr>
        <w:jc w:val="left"/>
        <w:rPr>
          <w:rFonts w:hint="eastAsia" w:ascii="方正小标宋简体" w:hAnsi="方正小标宋简体" w:eastAsia="方正小标宋简体" w:cs="方正小标宋简体"/>
          <w:b w:val="0"/>
          <w:bCs w:val="0"/>
          <w:color w:val="000000"/>
          <w:sz w:val="44"/>
          <w:szCs w:val="32"/>
          <w:highlight w:val="none"/>
          <w:lang w:val="en-US" w:eastAsia="zh-CN"/>
        </w:rPr>
      </w:pPr>
      <w:r>
        <w:rPr>
          <w:rFonts w:hint="eastAsia" w:ascii="方正小标宋简体" w:hAnsi="方正小标宋简体" w:eastAsia="方正小标宋简体" w:cs="方正小标宋简体"/>
          <w:b w:val="0"/>
          <w:bCs w:val="0"/>
          <w:color w:val="000000"/>
          <w:sz w:val="44"/>
          <w:szCs w:val="32"/>
          <w:highlight w:val="none"/>
          <w:lang w:val="en-US" w:eastAsia="zh-CN"/>
        </w:rPr>
        <w:t>附件2</w:t>
      </w:r>
    </w:p>
    <w:p>
      <w:pPr>
        <w:jc w:val="center"/>
        <w:rPr>
          <w:rFonts w:hint="default" w:ascii="Times New Roman" w:hAnsi="Times New Roman" w:eastAsia="方正小标宋_GBK" w:cs="Times New Roman"/>
          <w:sz w:val="32"/>
          <w:szCs w:val="32"/>
          <w:highlight w:val="none"/>
        </w:rPr>
      </w:pPr>
      <w:r>
        <w:rPr>
          <w:rFonts w:hint="eastAsia" w:ascii="方正小标宋简体" w:hAnsi="方正小标宋简体" w:eastAsia="方正小标宋简体" w:cs="方正小标宋简体"/>
          <w:b w:val="0"/>
          <w:bCs w:val="0"/>
          <w:color w:val="000000"/>
          <w:sz w:val="44"/>
          <w:szCs w:val="32"/>
          <w:highlight w:val="none"/>
        </w:rPr>
        <w:t>全</w:t>
      </w:r>
      <w:r>
        <w:rPr>
          <w:rFonts w:hint="eastAsia" w:ascii="方正小标宋简体" w:hAnsi="方正小标宋简体" w:eastAsia="方正小标宋简体" w:cs="方正小标宋简体"/>
          <w:b w:val="0"/>
          <w:bCs w:val="0"/>
          <w:color w:val="000000"/>
          <w:sz w:val="44"/>
          <w:szCs w:val="32"/>
          <w:highlight w:val="none"/>
          <w:lang w:val="en-US" w:eastAsia="zh-CN"/>
        </w:rPr>
        <w:t>市</w:t>
      </w:r>
      <w:r>
        <w:rPr>
          <w:rFonts w:hint="eastAsia" w:ascii="方正小标宋简体" w:hAnsi="方正小标宋简体" w:eastAsia="方正小标宋简体" w:cs="方正小标宋简体"/>
          <w:b w:val="0"/>
          <w:bCs w:val="0"/>
          <w:color w:val="000000"/>
          <w:sz w:val="44"/>
          <w:szCs w:val="32"/>
          <w:highlight w:val="none"/>
        </w:rPr>
        <w:t>第十</w:t>
      </w:r>
      <w:r>
        <w:rPr>
          <w:rFonts w:hint="eastAsia" w:ascii="方正小标宋简体" w:hAnsi="方正小标宋简体" w:eastAsia="方正小标宋简体" w:cs="方正小标宋简体"/>
          <w:b w:val="0"/>
          <w:bCs w:val="0"/>
          <w:color w:val="000000"/>
          <w:sz w:val="44"/>
          <w:szCs w:val="32"/>
          <w:highlight w:val="none"/>
          <w:lang w:val="en-US" w:eastAsia="zh-CN"/>
        </w:rPr>
        <w:t>二</w:t>
      </w:r>
      <w:r>
        <w:rPr>
          <w:rFonts w:hint="eastAsia" w:ascii="方正小标宋简体" w:hAnsi="方正小标宋简体" w:eastAsia="方正小标宋简体" w:cs="方正小标宋简体"/>
          <w:b w:val="0"/>
          <w:bCs w:val="0"/>
          <w:color w:val="000000"/>
          <w:sz w:val="44"/>
          <w:szCs w:val="32"/>
          <w:highlight w:val="none"/>
        </w:rPr>
        <w:t>批</w:t>
      </w:r>
      <w:r>
        <w:rPr>
          <w:rFonts w:hint="default" w:ascii="Times New Roman" w:hAnsi="Times New Roman" w:eastAsia="方正小标宋_GBK" w:cs="Times New Roman"/>
          <w:b w:val="0"/>
          <w:bCs w:val="0"/>
          <w:color w:val="000000"/>
          <w:sz w:val="44"/>
          <w:szCs w:val="32"/>
          <w:highlight w:val="none"/>
        </w:rPr>
        <w:t>火灾隐患重点地区整治验收实地评估标准（90分）</w:t>
      </w:r>
    </w:p>
    <w:p>
      <w:pPr>
        <w:rPr>
          <w:rFonts w:ascii="Times New Roman" w:hAnsi="Times New Roman"/>
          <w:color w:val="000000"/>
          <w:sz w:val="32"/>
          <w:szCs w:val="32"/>
          <w:highlight w:val="none"/>
        </w:rPr>
      </w:pPr>
      <w:r>
        <w:rPr>
          <w:rFonts w:hint="default" w:ascii="Times New Roman" w:hAnsi="Times New Roman"/>
          <w:color w:val="000000"/>
          <w:sz w:val="32"/>
          <w:szCs w:val="32"/>
          <w:highlight w:val="none"/>
        </w:rPr>
        <w:t>指标权重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96" w:type="dxa"/>
            <w:noWrap w:val="0"/>
            <w:vAlign w:val="center"/>
          </w:tcPr>
          <w:p>
            <w:pPr>
              <w:spacing w:line="360" w:lineRule="auto"/>
              <w:jc w:val="center"/>
              <w:rPr>
                <w:rFonts w:hint="default" w:ascii="Times New Roman" w:hAnsi="Times New Roman"/>
                <w:b/>
                <w:color w:val="auto"/>
                <w:szCs w:val="21"/>
                <w:highlight w:val="none"/>
              </w:rPr>
            </w:pPr>
            <w:r>
              <w:rPr>
                <w:rFonts w:ascii="Times New Roman" w:hAnsi="Times New Roman"/>
                <w:b/>
                <w:color w:val="auto"/>
                <w:szCs w:val="21"/>
                <w:highlight w:val="none"/>
              </w:rPr>
              <w:t>指标</w:t>
            </w:r>
          </w:p>
        </w:tc>
        <w:tc>
          <w:tcPr>
            <w:tcW w:w="2910" w:type="dxa"/>
            <w:noWrap w:val="0"/>
            <w:vAlign w:val="center"/>
          </w:tcPr>
          <w:p>
            <w:pPr>
              <w:spacing w:line="360" w:lineRule="auto"/>
              <w:jc w:val="center"/>
              <w:rPr>
                <w:rFonts w:hint="default" w:ascii="Times New Roman" w:hAnsi="Times New Roman"/>
                <w:b/>
                <w:color w:val="auto"/>
                <w:szCs w:val="21"/>
                <w:highlight w:val="none"/>
              </w:rPr>
            </w:pPr>
            <w:r>
              <w:rPr>
                <w:rFonts w:ascii="Times New Roman" w:hAnsi="Times New Roman"/>
                <w:b/>
                <w:color w:val="auto"/>
                <w:szCs w:val="21"/>
                <w:highlight w:val="none"/>
              </w:rPr>
              <w:t>指标权重系数</w:t>
            </w:r>
            <w:r>
              <w:rPr>
                <w:rFonts w:hint="default" w:ascii="Times New Roman" w:hAnsi="Times New Roman"/>
                <w:b/>
                <w:color w:val="auto"/>
                <w:szCs w:val="21"/>
                <w:highlight w:val="none"/>
              </w:rPr>
              <w:t>（</w:t>
            </w:r>
            <w:r>
              <w:rPr>
                <w:rFonts w:ascii="Times New Roman" w:hAnsi="Times New Roman"/>
                <w:color w:val="auto"/>
                <w:position w:val="-6"/>
                <w:highlight w:val="none"/>
              </w:rPr>
              <w:object>
                <v:shape id="_x0000_i1025" o:spt="75" type="#_x0000_t75" style="height:11pt;width:12pt;" o:ole="t" filled="f" o:preferrelative="t" stroked="f" coordsize="21600,21600">
                  <v:path/>
                  <v:fill on="f" focussize="0,0"/>
                  <v:stroke on="f"/>
                  <v:imagedata r:id="rId29" embosscolor="#FFFFFF" o:title=""/>
                  <o:lock v:ext="edit" grouping="f" rotation="f" text="f" aspectratio="t"/>
                  <w10:wrap type="none"/>
                  <w10:anchorlock/>
                </v:shape>
                <o:OLEObject Type="Embed" ProgID="Equation.3" ShapeID="_x0000_i1025" DrawAspect="Content" ObjectID="_1468075725" r:id="rId28">
                  <o:LockedField>false</o:LockedField>
                </o:OLEObject>
              </w:object>
            </w:r>
            <w:r>
              <w:rPr>
                <w:rFonts w:hint="default" w:ascii="Times New Roman" w:hAnsi="Times New Roman"/>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snapToGrid w:val="0"/>
              <w:spacing w:line="360" w:lineRule="auto"/>
              <w:jc w:val="left"/>
              <w:rPr>
                <w:rFonts w:ascii="Times New Roman" w:hAnsi="Times New Roman"/>
                <w:color w:val="auto"/>
                <w:szCs w:val="21"/>
                <w:highlight w:val="none"/>
              </w:rPr>
            </w:pPr>
            <w:r>
              <w:rPr>
                <w:rFonts w:ascii="Times New Roman" w:hAnsi="Times New Roman"/>
                <w:color w:val="auto"/>
                <w:szCs w:val="21"/>
                <w:highlight w:val="none"/>
              </w:rPr>
              <w:t>A、“三小”场所消防安全评估</w:t>
            </w:r>
          </w:p>
        </w:tc>
        <w:tc>
          <w:tcPr>
            <w:tcW w:w="2910" w:type="dxa"/>
            <w:noWrap w:val="0"/>
            <w:vAlign w:val="center"/>
          </w:tcPr>
          <w:p>
            <w:pPr>
              <w:snapToGrid w:val="0"/>
              <w:spacing w:line="360" w:lineRule="auto"/>
              <w:jc w:val="center"/>
              <w:rPr>
                <w:rFonts w:hint="default" w:ascii="Times New Roman" w:hAnsi="Times New Roman"/>
                <w:color w:val="auto"/>
                <w:szCs w:val="21"/>
                <w:highlight w:val="none"/>
              </w:rPr>
            </w:pPr>
            <w:r>
              <w:rPr>
                <w:rFonts w:ascii="Times New Roman" w:hAnsi="Times New Roman"/>
                <w:color w:val="auto"/>
                <w:szCs w:val="21"/>
                <w:highlight w:val="none"/>
              </w:rPr>
              <w:t>0.</w:t>
            </w:r>
            <w:r>
              <w:rPr>
                <w:rFonts w:hint="default" w:ascii="Times New Roman" w:hAnsi="Times New Roman"/>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snapToGrid w:val="0"/>
              <w:spacing w:line="360" w:lineRule="auto"/>
              <w:jc w:val="left"/>
              <w:rPr>
                <w:rFonts w:ascii="Times New Roman" w:hAnsi="Times New Roman"/>
                <w:color w:val="auto"/>
                <w:szCs w:val="21"/>
                <w:highlight w:val="none"/>
              </w:rPr>
            </w:pPr>
            <w:r>
              <w:rPr>
                <w:rFonts w:hint="default" w:ascii="Times New Roman" w:hAnsi="Times New Roman"/>
                <w:color w:val="auto"/>
                <w:szCs w:val="21"/>
                <w:highlight w:val="none"/>
              </w:rPr>
              <w:t>B、出租屋消防安全评估</w:t>
            </w:r>
          </w:p>
        </w:tc>
        <w:tc>
          <w:tcPr>
            <w:tcW w:w="2910" w:type="dxa"/>
            <w:noWrap w:val="0"/>
            <w:vAlign w:val="center"/>
          </w:tcPr>
          <w:p>
            <w:pPr>
              <w:snapToGrid w:val="0"/>
              <w:spacing w:line="360" w:lineRule="auto"/>
              <w:jc w:val="center"/>
              <w:rPr>
                <w:rFonts w:hint="default" w:ascii="Times New Roman" w:hAnsi="Times New Roman"/>
                <w:color w:val="auto"/>
                <w:szCs w:val="21"/>
                <w:highlight w:val="none"/>
              </w:rPr>
            </w:pPr>
            <w:r>
              <w:rPr>
                <w:rFonts w:hint="default" w:ascii="Times New Roman" w:hAnsi="Times New Roman"/>
                <w:color w:val="auto"/>
                <w:szCs w:val="21"/>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snapToGrid w:val="0"/>
              <w:spacing w:line="360" w:lineRule="auto"/>
              <w:jc w:val="left"/>
              <w:rPr>
                <w:rFonts w:hint="default" w:ascii="Times New Roman" w:hAnsi="Times New Roman"/>
                <w:color w:val="auto"/>
                <w:szCs w:val="21"/>
                <w:highlight w:val="none"/>
              </w:rPr>
            </w:pPr>
            <w:r>
              <w:rPr>
                <w:rFonts w:hint="default" w:ascii="Times New Roman" w:hAnsi="Times New Roman"/>
                <w:color w:val="auto"/>
                <w:szCs w:val="21"/>
                <w:highlight w:val="none"/>
              </w:rPr>
              <w:t>C</w:t>
            </w:r>
            <w:r>
              <w:rPr>
                <w:rFonts w:ascii="Times New Roman" w:hAnsi="Times New Roman"/>
                <w:color w:val="auto"/>
                <w:szCs w:val="21"/>
                <w:highlight w:val="none"/>
              </w:rPr>
              <w:t>、</w:t>
            </w:r>
            <w:r>
              <w:rPr>
                <w:rFonts w:hint="default" w:ascii="Times New Roman" w:hAnsi="Times New Roman"/>
                <w:color w:val="auto"/>
                <w:szCs w:val="21"/>
                <w:highlight w:val="none"/>
              </w:rPr>
              <w:t>公共场所</w:t>
            </w:r>
            <w:r>
              <w:rPr>
                <w:rFonts w:ascii="Times New Roman" w:hAnsi="Times New Roman"/>
                <w:color w:val="auto"/>
                <w:szCs w:val="21"/>
                <w:highlight w:val="none"/>
              </w:rPr>
              <w:t>消防安全评估</w:t>
            </w:r>
            <w:r>
              <w:rPr>
                <w:rFonts w:hint="default" w:ascii="Times New Roman" w:hAnsi="Times New Roman"/>
                <w:color w:val="auto"/>
                <w:szCs w:val="21"/>
                <w:highlight w:val="none"/>
              </w:rPr>
              <w:t>（含大型商业综合体、大型批发市场）</w:t>
            </w:r>
          </w:p>
        </w:tc>
        <w:tc>
          <w:tcPr>
            <w:tcW w:w="2910" w:type="dxa"/>
            <w:noWrap w:val="0"/>
            <w:vAlign w:val="center"/>
          </w:tcPr>
          <w:p>
            <w:pPr>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0.</w:t>
            </w:r>
            <w:r>
              <w:rPr>
                <w:rFonts w:hint="default" w:ascii="Times New Roman" w:hAnsi="Times New Roman"/>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snapToGrid w:val="0"/>
              <w:spacing w:line="360" w:lineRule="auto"/>
              <w:jc w:val="left"/>
              <w:rPr>
                <w:rFonts w:ascii="Times New Roman" w:hAnsi="Times New Roman"/>
                <w:color w:val="auto"/>
                <w:szCs w:val="21"/>
                <w:highlight w:val="none"/>
              </w:rPr>
            </w:pPr>
            <w:r>
              <w:rPr>
                <w:rFonts w:hint="default" w:ascii="Times New Roman" w:hAnsi="Times New Roman"/>
                <w:color w:val="auto"/>
                <w:szCs w:val="21"/>
                <w:highlight w:val="none"/>
              </w:rPr>
              <w:t>D</w:t>
            </w:r>
            <w:r>
              <w:rPr>
                <w:rFonts w:ascii="Times New Roman" w:hAnsi="Times New Roman"/>
                <w:color w:val="auto"/>
                <w:szCs w:val="21"/>
                <w:highlight w:val="none"/>
              </w:rPr>
              <w:t>、</w:t>
            </w:r>
            <w:r>
              <w:rPr>
                <w:rFonts w:hint="default" w:ascii="Times New Roman" w:hAnsi="Times New Roman"/>
                <w:color w:val="auto"/>
                <w:szCs w:val="21"/>
                <w:highlight w:val="none"/>
              </w:rPr>
              <w:t>工业建筑</w:t>
            </w:r>
            <w:r>
              <w:rPr>
                <w:rFonts w:ascii="Times New Roman" w:hAnsi="Times New Roman"/>
                <w:color w:val="auto"/>
                <w:szCs w:val="21"/>
                <w:highlight w:val="none"/>
              </w:rPr>
              <w:t>消防安全评估</w:t>
            </w:r>
          </w:p>
        </w:tc>
        <w:tc>
          <w:tcPr>
            <w:tcW w:w="2910" w:type="dxa"/>
            <w:noWrap w:val="0"/>
            <w:vAlign w:val="center"/>
          </w:tcPr>
          <w:p>
            <w:pPr>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0.</w:t>
            </w:r>
            <w:r>
              <w:rPr>
                <w:rFonts w:hint="default" w:ascii="Times New Roman" w:hAnsi="Times New Roman"/>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696" w:type="dxa"/>
            <w:noWrap w:val="0"/>
            <w:vAlign w:val="center"/>
          </w:tcPr>
          <w:p>
            <w:pPr>
              <w:snapToGrid w:val="0"/>
              <w:spacing w:line="360" w:lineRule="auto"/>
              <w:jc w:val="left"/>
              <w:rPr>
                <w:rFonts w:ascii="Times New Roman" w:hAnsi="Times New Roman"/>
                <w:color w:val="auto"/>
                <w:szCs w:val="21"/>
                <w:highlight w:val="none"/>
              </w:rPr>
            </w:pPr>
            <w:r>
              <w:rPr>
                <w:rFonts w:hint="default" w:ascii="Times New Roman" w:hAnsi="Times New Roman"/>
                <w:color w:val="auto"/>
                <w:szCs w:val="21"/>
                <w:highlight w:val="none"/>
              </w:rPr>
              <w:t>E</w:t>
            </w:r>
            <w:r>
              <w:rPr>
                <w:rFonts w:ascii="Times New Roman" w:hAnsi="Times New Roman"/>
                <w:color w:val="auto"/>
                <w:szCs w:val="21"/>
                <w:highlight w:val="none"/>
              </w:rPr>
              <w:t>、市政消火栓建设评估</w:t>
            </w:r>
          </w:p>
        </w:tc>
        <w:tc>
          <w:tcPr>
            <w:tcW w:w="2910" w:type="dxa"/>
            <w:noWrap w:val="0"/>
            <w:vAlign w:val="center"/>
          </w:tcPr>
          <w:p>
            <w:pPr>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0.1</w:t>
            </w:r>
            <w:r>
              <w:rPr>
                <w:rFonts w:hint="default" w:ascii="Times New Roman" w:hAnsi="Times New Roman"/>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6" w:type="dxa"/>
            <w:noWrap w:val="0"/>
            <w:vAlign w:val="center"/>
          </w:tcPr>
          <w:p>
            <w:pPr>
              <w:snapToGrid w:val="0"/>
              <w:spacing w:line="360" w:lineRule="auto"/>
              <w:jc w:val="left"/>
              <w:rPr>
                <w:rFonts w:ascii="Times New Roman" w:hAnsi="Times New Roman"/>
                <w:color w:val="auto"/>
                <w:szCs w:val="21"/>
                <w:highlight w:val="none"/>
              </w:rPr>
            </w:pPr>
            <w:r>
              <w:rPr>
                <w:rFonts w:hint="default" w:ascii="Times New Roman" w:hAnsi="Times New Roman"/>
                <w:color w:val="auto"/>
                <w:szCs w:val="21"/>
                <w:highlight w:val="none"/>
              </w:rPr>
              <w:t>F</w:t>
            </w:r>
            <w:r>
              <w:rPr>
                <w:rFonts w:ascii="Times New Roman" w:hAnsi="Times New Roman"/>
                <w:color w:val="auto"/>
                <w:szCs w:val="21"/>
                <w:highlight w:val="none"/>
              </w:rPr>
              <w:t>、多种形式消防队伍建设评估</w:t>
            </w:r>
          </w:p>
        </w:tc>
        <w:tc>
          <w:tcPr>
            <w:tcW w:w="2910" w:type="dxa"/>
            <w:noWrap w:val="0"/>
            <w:vAlign w:val="center"/>
          </w:tcPr>
          <w:p>
            <w:pPr>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0.1</w:t>
            </w:r>
            <w:r>
              <w:rPr>
                <w:rFonts w:hint="default" w:ascii="Times New Roman" w:hAnsi="Times New Roman"/>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6" w:type="dxa"/>
            <w:noWrap w:val="0"/>
            <w:vAlign w:val="center"/>
          </w:tcPr>
          <w:p>
            <w:pPr>
              <w:snapToGrid w:val="0"/>
              <w:spacing w:line="360" w:lineRule="auto"/>
              <w:jc w:val="left"/>
              <w:rPr>
                <w:rFonts w:ascii="Times New Roman" w:hAnsi="Times New Roman"/>
                <w:color w:val="auto"/>
                <w:szCs w:val="21"/>
                <w:highlight w:val="none"/>
              </w:rPr>
            </w:pPr>
            <w:r>
              <w:rPr>
                <w:rFonts w:hint="default" w:ascii="Times New Roman" w:hAnsi="Times New Roman"/>
                <w:color w:val="auto"/>
                <w:szCs w:val="21"/>
                <w:highlight w:val="none"/>
              </w:rPr>
              <w:t>G、</w:t>
            </w:r>
            <w:r>
              <w:rPr>
                <w:rFonts w:ascii="Times New Roman" w:hAnsi="Times New Roman"/>
                <w:color w:val="auto"/>
                <w:szCs w:val="21"/>
                <w:highlight w:val="none"/>
              </w:rPr>
              <w:t>消防安全网格化管理评估</w:t>
            </w:r>
          </w:p>
        </w:tc>
        <w:tc>
          <w:tcPr>
            <w:tcW w:w="2910" w:type="dxa"/>
            <w:noWrap w:val="0"/>
            <w:vAlign w:val="center"/>
          </w:tcPr>
          <w:p>
            <w:pPr>
              <w:snapToGrid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0.</w:t>
            </w:r>
            <w:r>
              <w:rPr>
                <w:rFonts w:hint="default" w:ascii="Times New Roman" w:hAnsi="Times New Roman"/>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96" w:type="dxa"/>
            <w:noWrap w:val="0"/>
            <w:vAlign w:val="center"/>
          </w:tcPr>
          <w:p>
            <w:pPr>
              <w:snapToGrid w:val="0"/>
              <w:spacing w:line="360" w:lineRule="auto"/>
              <w:jc w:val="left"/>
              <w:rPr>
                <w:rFonts w:hint="default" w:ascii="Times New Roman" w:hAnsi="Times New Roman" w:eastAsia="宋体"/>
                <w:color w:val="auto"/>
                <w:szCs w:val="21"/>
                <w:highlight w:val="none"/>
                <w:lang w:val="en-US" w:eastAsia="zh-CN"/>
              </w:rPr>
            </w:pPr>
            <w:r>
              <w:rPr>
                <w:rFonts w:hint="default" w:ascii="Times New Roman" w:hAnsi="Times New Roman"/>
                <w:color w:val="auto"/>
                <w:szCs w:val="21"/>
                <w:highlight w:val="none"/>
              </w:rPr>
              <w:t>H、</w:t>
            </w:r>
            <w:r>
              <w:rPr>
                <w:rFonts w:hint="default" w:ascii="Times New Roman" w:hAnsi="Times New Roman"/>
                <w:color w:val="auto"/>
                <w:szCs w:val="21"/>
                <w:highlight w:val="none"/>
                <w:lang w:val="en-US" w:eastAsia="zh-CN"/>
              </w:rPr>
              <w:t>消防技术服务机构对第三方验收结果的核查评估</w:t>
            </w:r>
          </w:p>
        </w:tc>
        <w:tc>
          <w:tcPr>
            <w:tcW w:w="2910" w:type="dxa"/>
            <w:noWrap w:val="0"/>
            <w:vAlign w:val="center"/>
          </w:tcPr>
          <w:p>
            <w:pPr>
              <w:snapToGrid w:val="0"/>
              <w:spacing w:line="360" w:lineRule="auto"/>
              <w:jc w:val="center"/>
              <w:rPr>
                <w:rFonts w:hint="default" w:ascii="Times New Roman" w:hAnsi="Times New Roman"/>
                <w:color w:val="auto"/>
                <w:szCs w:val="21"/>
                <w:highlight w:val="none"/>
              </w:rPr>
            </w:pPr>
            <w:r>
              <w:rPr>
                <w:rFonts w:hint="default" w:ascii="Times New Roman" w:hAnsi="Times New Roman"/>
                <w:color w:val="auto"/>
                <w:szCs w:val="21"/>
                <w:highlight w:val="none"/>
              </w:rPr>
              <w:t>0.10</w:t>
            </w:r>
          </w:p>
        </w:tc>
      </w:tr>
    </w:tbl>
    <w:p>
      <w:pPr>
        <w:pStyle w:val="8"/>
        <w:spacing w:line="560" w:lineRule="exact"/>
        <w:rPr>
          <w:rFonts w:ascii="Times New Roman" w:hAnsi="Times New Roman"/>
          <w:color w:val="auto"/>
          <w:highlight w:val="none"/>
        </w:rPr>
      </w:pPr>
      <w:r>
        <w:rPr>
          <w:rFonts w:ascii="Times New Roman" w:hAnsi="Times New Roman"/>
          <w:color w:val="auto"/>
          <w:highlight w:val="none"/>
        </w:rPr>
        <w:t>一票否决项：</w:t>
      </w:r>
    </w:p>
    <w:p>
      <w:pPr>
        <w:spacing w:line="560" w:lineRule="exact"/>
        <w:rPr>
          <w:rFonts w:ascii="Times New Roman" w:hAnsi="Times New Roman"/>
          <w:b/>
          <w:color w:val="auto"/>
          <w:sz w:val="32"/>
          <w:szCs w:val="32"/>
          <w:highlight w:val="none"/>
        </w:rPr>
      </w:pPr>
      <w:r>
        <w:rPr>
          <w:rFonts w:ascii="Times New Roman" w:hAnsi="Times New Roman"/>
          <w:color w:val="auto"/>
          <w:sz w:val="28"/>
          <w:szCs w:val="28"/>
          <w:highlight w:val="none"/>
        </w:rPr>
        <w:t>存在下列问题之一的可直接判定为验收不合格：</w:t>
      </w:r>
    </w:p>
    <w:p>
      <w:pPr>
        <w:spacing w:line="560" w:lineRule="exact"/>
        <w:jc w:val="left"/>
        <w:rPr>
          <w:rFonts w:ascii="Times New Roman" w:hAnsi="Times New Roman"/>
          <w:color w:val="auto"/>
          <w:sz w:val="28"/>
          <w:highlight w:val="none"/>
        </w:rPr>
      </w:pPr>
      <w:r>
        <w:rPr>
          <w:rFonts w:ascii="Times New Roman" w:hAnsi="Times New Roman"/>
          <w:color w:val="auto"/>
          <w:sz w:val="28"/>
          <w:highlight w:val="none"/>
        </w:rPr>
        <w:t>1、</w:t>
      </w:r>
      <w:r>
        <w:rPr>
          <w:rFonts w:hint="default" w:ascii="Times New Roman" w:hAnsi="Times New Roman"/>
          <w:color w:val="auto"/>
          <w:sz w:val="28"/>
          <w:highlight w:val="none"/>
        </w:rPr>
        <w:t>挂牌督办期间，</w:t>
      </w:r>
      <w:r>
        <w:rPr>
          <w:rFonts w:ascii="Times New Roman" w:hAnsi="Times New Roman"/>
          <w:color w:val="auto"/>
          <w:sz w:val="28"/>
          <w:highlight w:val="none"/>
        </w:rPr>
        <w:t>发生较大以上亡人火灾的；</w:t>
      </w:r>
    </w:p>
    <w:p>
      <w:pPr>
        <w:spacing w:line="560" w:lineRule="exact"/>
        <w:jc w:val="left"/>
        <w:rPr>
          <w:rFonts w:ascii="Times New Roman" w:hAnsi="Times New Roman"/>
          <w:color w:val="auto"/>
          <w:sz w:val="28"/>
          <w:highlight w:val="none"/>
        </w:rPr>
      </w:pPr>
      <w:r>
        <w:rPr>
          <w:rFonts w:ascii="Times New Roman" w:hAnsi="Times New Roman"/>
          <w:color w:val="auto"/>
          <w:sz w:val="28"/>
          <w:highlight w:val="none"/>
        </w:rPr>
        <w:t>2、实地检查发现超过总数2%的“三小”场所存在违规住人</w:t>
      </w:r>
      <w:r>
        <w:rPr>
          <w:rFonts w:hint="default" w:ascii="Times New Roman" w:hAnsi="Times New Roman"/>
          <w:color w:val="auto"/>
          <w:sz w:val="28"/>
          <w:highlight w:val="none"/>
        </w:rPr>
        <w:t>或</w:t>
      </w:r>
      <w:r>
        <w:rPr>
          <w:rFonts w:ascii="Times New Roman" w:hAnsi="Times New Roman"/>
          <w:color w:val="auto"/>
          <w:sz w:val="28"/>
          <w:highlight w:val="none"/>
        </w:rPr>
        <w:t>“三合一”现象的；</w:t>
      </w:r>
    </w:p>
    <w:p>
      <w:pPr>
        <w:spacing w:line="560" w:lineRule="exact"/>
        <w:jc w:val="left"/>
        <w:rPr>
          <w:rFonts w:ascii="Times New Roman" w:hAnsi="Times New Roman"/>
          <w:color w:val="auto"/>
          <w:sz w:val="28"/>
          <w:highlight w:val="none"/>
        </w:rPr>
      </w:pPr>
      <w:r>
        <w:rPr>
          <w:rFonts w:ascii="Times New Roman" w:hAnsi="Times New Roman"/>
          <w:color w:val="auto"/>
          <w:sz w:val="28"/>
          <w:highlight w:val="none"/>
        </w:rPr>
        <w:t>3、实地检查发现3家</w:t>
      </w:r>
      <w:r>
        <w:rPr>
          <w:rFonts w:hint="default" w:ascii="Times New Roman" w:hAnsi="Times New Roman"/>
          <w:color w:val="auto"/>
          <w:sz w:val="28"/>
          <w:highlight w:val="none"/>
        </w:rPr>
        <w:t>企业单位</w:t>
      </w:r>
      <w:r>
        <w:rPr>
          <w:rFonts w:ascii="Times New Roman" w:hAnsi="Times New Roman"/>
          <w:color w:val="auto"/>
          <w:sz w:val="28"/>
          <w:highlight w:val="none"/>
        </w:rPr>
        <w:t>存在重大火灾隐患未被发现或未进行查处的；</w:t>
      </w:r>
    </w:p>
    <w:p>
      <w:pPr>
        <w:spacing w:line="560" w:lineRule="exact"/>
        <w:jc w:val="left"/>
        <w:rPr>
          <w:rFonts w:ascii="Times New Roman" w:hAnsi="Times New Roman"/>
          <w:color w:val="auto"/>
          <w:sz w:val="28"/>
          <w:highlight w:val="none"/>
        </w:rPr>
      </w:pPr>
      <w:r>
        <w:rPr>
          <w:rFonts w:ascii="Times New Roman" w:hAnsi="Times New Roman"/>
          <w:color w:val="auto"/>
          <w:sz w:val="28"/>
          <w:highlight w:val="none"/>
        </w:rPr>
        <w:t>4、实地检查</w:t>
      </w:r>
      <w:r>
        <w:rPr>
          <w:rFonts w:hint="default" w:ascii="Times New Roman" w:hAnsi="Times New Roman"/>
          <w:color w:val="auto"/>
          <w:sz w:val="28"/>
          <w:highlight w:val="none"/>
        </w:rPr>
        <w:t>发现</w:t>
      </w:r>
      <w:r>
        <w:rPr>
          <w:rFonts w:ascii="Times New Roman" w:hAnsi="Times New Roman"/>
          <w:color w:val="auto"/>
          <w:sz w:val="28"/>
          <w:highlight w:val="none"/>
        </w:rPr>
        <w:t>市政消火栓缺建率达到</w:t>
      </w:r>
      <w:r>
        <w:rPr>
          <w:rFonts w:hint="default" w:ascii="Times New Roman" w:hAnsi="Times New Roman"/>
          <w:color w:val="auto"/>
          <w:sz w:val="28"/>
          <w:highlight w:val="none"/>
          <w:lang w:val="en-US" w:eastAsia="zh-CN"/>
        </w:rPr>
        <w:t>1</w:t>
      </w:r>
      <w:r>
        <w:rPr>
          <w:rFonts w:ascii="Times New Roman" w:hAnsi="Times New Roman"/>
          <w:color w:val="auto"/>
          <w:sz w:val="28"/>
          <w:highlight w:val="none"/>
        </w:rPr>
        <w:t>0%以上的；</w:t>
      </w:r>
    </w:p>
    <w:p>
      <w:pPr>
        <w:spacing w:line="560" w:lineRule="exact"/>
        <w:jc w:val="left"/>
        <w:rPr>
          <w:rFonts w:ascii="Times New Roman" w:hAnsi="Times New Roman"/>
          <w:color w:val="auto"/>
          <w:sz w:val="28"/>
          <w:highlight w:val="none"/>
        </w:rPr>
      </w:pPr>
      <w:r>
        <w:rPr>
          <w:rFonts w:ascii="Times New Roman" w:hAnsi="Times New Roman"/>
          <w:color w:val="auto"/>
          <w:sz w:val="28"/>
          <w:highlight w:val="none"/>
        </w:rPr>
        <w:t>5、应建未</w:t>
      </w:r>
      <w:r>
        <w:rPr>
          <w:rFonts w:hint="default" w:ascii="Times New Roman" w:hAnsi="Times New Roman"/>
          <w:color w:val="auto"/>
          <w:sz w:val="28"/>
          <w:highlight w:val="none"/>
        </w:rPr>
        <w:t>建政府专职</w:t>
      </w:r>
      <w:r>
        <w:rPr>
          <w:rFonts w:ascii="Times New Roman" w:hAnsi="Times New Roman"/>
          <w:color w:val="auto"/>
          <w:sz w:val="28"/>
          <w:highlight w:val="none"/>
        </w:rPr>
        <w:t>消防队的。</w:t>
      </w:r>
    </w:p>
    <w:p>
      <w:pPr>
        <w:pStyle w:val="8"/>
        <w:spacing w:line="560" w:lineRule="exact"/>
        <w:rPr>
          <w:rFonts w:ascii="Times New Roman" w:hAnsi="Times New Roman"/>
          <w:color w:val="auto"/>
          <w:highlight w:val="none"/>
        </w:rPr>
      </w:pPr>
      <w:r>
        <w:rPr>
          <w:rFonts w:hint="default" w:ascii="Times New Roman" w:hAnsi="Times New Roman"/>
          <w:color w:val="auto"/>
          <w:highlight w:val="none"/>
          <w:lang w:eastAsia="zh-CN"/>
        </w:rPr>
        <w:t>直接</w:t>
      </w:r>
      <w:r>
        <w:rPr>
          <w:rFonts w:ascii="Times New Roman" w:hAnsi="Times New Roman"/>
          <w:color w:val="auto"/>
          <w:highlight w:val="none"/>
        </w:rPr>
        <w:t>扣分项：</w:t>
      </w:r>
    </w:p>
    <w:p>
      <w:pPr>
        <w:spacing w:line="560" w:lineRule="exact"/>
        <w:rPr>
          <w:rFonts w:hint="default" w:ascii="Times New Roman" w:hAnsi="Times New Roman"/>
          <w:color w:val="auto"/>
          <w:sz w:val="28"/>
          <w:highlight w:val="none"/>
        </w:rPr>
      </w:pPr>
      <w:r>
        <w:rPr>
          <w:rFonts w:ascii="Times New Roman" w:hAnsi="Times New Roman"/>
          <w:color w:val="auto"/>
          <w:sz w:val="28"/>
          <w:highlight w:val="none"/>
        </w:rPr>
        <w:t>1、</w:t>
      </w:r>
      <w:r>
        <w:rPr>
          <w:rFonts w:hint="default" w:ascii="Times New Roman" w:hAnsi="Times New Roman"/>
          <w:color w:val="auto"/>
          <w:sz w:val="28"/>
          <w:highlight w:val="none"/>
        </w:rPr>
        <w:t>挂牌督办期间，</w:t>
      </w:r>
      <w:r>
        <w:rPr>
          <w:rFonts w:ascii="Times New Roman" w:hAnsi="Times New Roman"/>
          <w:color w:val="auto"/>
          <w:sz w:val="28"/>
          <w:highlight w:val="none"/>
        </w:rPr>
        <w:t>发生一起亡人的一般火灾的，总</w:t>
      </w:r>
      <w:r>
        <w:rPr>
          <w:rFonts w:hint="default" w:ascii="Times New Roman" w:hAnsi="Times New Roman"/>
          <w:color w:val="auto"/>
          <w:sz w:val="28"/>
          <w:highlight w:val="none"/>
        </w:rPr>
        <w:t>得</w:t>
      </w:r>
      <w:r>
        <w:rPr>
          <w:rFonts w:ascii="Times New Roman" w:hAnsi="Times New Roman"/>
          <w:color w:val="auto"/>
          <w:sz w:val="28"/>
          <w:highlight w:val="none"/>
        </w:rPr>
        <w:t>分扣5分</w:t>
      </w:r>
      <w:r>
        <w:rPr>
          <w:rFonts w:hint="default" w:ascii="Times New Roman" w:hAnsi="Times New Roman"/>
          <w:color w:val="auto"/>
          <w:sz w:val="28"/>
          <w:highlight w:val="none"/>
        </w:rPr>
        <w:t>。</w:t>
      </w:r>
    </w:p>
    <w:p>
      <w:pPr>
        <w:spacing w:line="560" w:lineRule="exact"/>
        <w:jc w:val="left"/>
        <w:rPr>
          <w:rFonts w:ascii="Times New Roman" w:hAnsi="Times New Roman"/>
          <w:color w:val="auto"/>
          <w:sz w:val="28"/>
          <w:highlight w:val="none"/>
        </w:rPr>
      </w:pPr>
      <w:r>
        <w:rPr>
          <w:rFonts w:ascii="Times New Roman" w:hAnsi="Times New Roman"/>
          <w:color w:val="auto"/>
          <w:sz w:val="28"/>
          <w:highlight w:val="none"/>
        </w:rPr>
        <w:t>2、实地</w:t>
      </w:r>
      <w:r>
        <w:rPr>
          <w:rFonts w:hint="default" w:ascii="Times New Roman" w:hAnsi="Times New Roman"/>
          <w:color w:val="auto"/>
          <w:sz w:val="28"/>
          <w:highlight w:val="none"/>
        </w:rPr>
        <w:t>检查评估发现“三小”场所存在违规住人或</w:t>
      </w:r>
      <w:r>
        <w:rPr>
          <w:rFonts w:ascii="Times New Roman" w:hAnsi="Times New Roman"/>
          <w:color w:val="auto"/>
          <w:sz w:val="28"/>
          <w:highlight w:val="none"/>
        </w:rPr>
        <w:t>“</w:t>
      </w:r>
      <w:r>
        <w:rPr>
          <w:rFonts w:hint="default" w:ascii="Times New Roman" w:hAnsi="Times New Roman"/>
          <w:color w:val="auto"/>
          <w:sz w:val="28"/>
          <w:highlight w:val="none"/>
        </w:rPr>
        <w:t>三合一</w:t>
      </w:r>
      <w:r>
        <w:rPr>
          <w:rFonts w:ascii="Times New Roman" w:hAnsi="Times New Roman"/>
          <w:color w:val="auto"/>
          <w:sz w:val="28"/>
          <w:highlight w:val="none"/>
        </w:rPr>
        <w:t>”</w:t>
      </w:r>
      <w:r>
        <w:rPr>
          <w:rFonts w:hint="default" w:ascii="Times New Roman" w:hAnsi="Times New Roman"/>
          <w:color w:val="auto"/>
          <w:sz w:val="28"/>
          <w:highlight w:val="none"/>
        </w:rPr>
        <w:t>现象的，每发现一处在总得分扣</w:t>
      </w:r>
      <w:r>
        <w:rPr>
          <w:rFonts w:ascii="Times New Roman" w:hAnsi="Times New Roman"/>
          <w:color w:val="auto"/>
          <w:sz w:val="28"/>
          <w:highlight w:val="none"/>
        </w:rPr>
        <w:t>0.1</w:t>
      </w:r>
      <w:r>
        <w:rPr>
          <w:rFonts w:hint="default" w:ascii="Times New Roman" w:hAnsi="Times New Roman"/>
          <w:color w:val="auto"/>
          <w:sz w:val="28"/>
          <w:highlight w:val="none"/>
        </w:rPr>
        <w:t>分；</w:t>
      </w:r>
    </w:p>
    <w:p>
      <w:pPr>
        <w:spacing w:line="560" w:lineRule="exact"/>
        <w:jc w:val="left"/>
        <w:rPr>
          <w:rFonts w:ascii="Times New Roman" w:hAnsi="Times New Roman"/>
          <w:color w:val="auto"/>
          <w:sz w:val="28"/>
          <w:highlight w:val="none"/>
        </w:rPr>
      </w:pPr>
      <w:r>
        <w:rPr>
          <w:rFonts w:ascii="Times New Roman" w:hAnsi="Times New Roman"/>
          <w:color w:val="auto"/>
          <w:sz w:val="28"/>
          <w:highlight w:val="none"/>
        </w:rPr>
        <w:t>3</w:t>
      </w:r>
      <w:r>
        <w:rPr>
          <w:rFonts w:hint="default" w:ascii="Times New Roman" w:hAnsi="Times New Roman"/>
          <w:color w:val="auto"/>
          <w:sz w:val="28"/>
          <w:highlight w:val="none"/>
        </w:rPr>
        <w:t>、实地检查发现仍有个别单位、场所未按要求纳入整治验收范围的，除将该单位场所得分情况纳入单位场所总数一并统计外，还将按底数不清、台账缺漏处理，即发现1家在总得分扣0.1分；</w:t>
      </w:r>
    </w:p>
    <w:p>
      <w:pPr>
        <w:spacing w:line="560" w:lineRule="exact"/>
        <w:jc w:val="left"/>
        <w:rPr>
          <w:rFonts w:hint="default" w:ascii="Times New Roman" w:hAnsi="Times New Roman"/>
          <w:color w:val="auto"/>
          <w:sz w:val="28"/>
          <w:highlight w:val="none"/>
        </w:rPr>
      </w:pPr>
      <w:r>
        <w:rPr>
          <w:rFonts w:hint="default" w:ascii="Times New Roman" w:hAnsi="Times New Roman"/>
          <w:color w:val="auto"/>
          <w:sz w:val="28"/>
          <w:highlight w:val="none"/>
        </w:rPr>
        <w:t>4、实地检查发现本地区总数在100家以下的同类场所有5家（含）以上均存在同一检查标准项扣分情形或总数在100家（含）以上的同类场所有5%（含）以上均存在同一检查标准项扣分情形的，按发现一项在实地评估得分扣</w:t>
      </w:r>
      <w:r>
        <w:rPr>
          <w:rFonts w:ascii="Times New Roman" w:hAnsi="Times New Roman"/>
          <w:color w:val="auto"/>
          <w:sz w:val="28"/>
          <w:highlight w:val="none"/>
        </w:rPr>
        <w:t>2</w:t>
      </w:r>
      <w:r>
        <w:rPr>
          <w:rFonts w:hint="default" w:ascii="Times New Roman" w:hAnsi="Times New Roman"/>
          <w:color w:val="auto"/>
          <w:sz w:val="28"/>
          <w:highlight w:val="none"/>
        </w:rPr>
        <w:t>分计算。</w:t>
      </w:r>
    </w:p>
    <w:p>
      <w:pPr>
        <w:spacing w:line="560" w:lineRule="exact"/>
        <w:jc w:val="left"/>
        <w:rPr>
          <w:rFonts w:hint="default" w:ascii="Times New Roman" w:hAnsi="Times New Roman"/>
          <w:b/>
          <w:bCs/>
          <w:color w:val="auto"/>
          <w:sz w:val="32"/>
          <w:szCs w:val="32"/>
          <w:highlight w:val="none"/>
        </w:rPr>
      </w:pPr>
    </w:p>
    <w:p>
      <w:pPr>
        <w:spacing w:line="560" w:lineRule="exact"/>
        <w:jc w:val="left"/>
        <w:rPr>
          <w:rFonts w:hint="default" w:ascii="Times New Roman" w:hAnsi="Times New Roman"/>
          <w:color w:val="auto"/>
          <w:sz w:val="28"/>
          <w:highlight w:val="none"/>
        </w:rPr>
      </w:pPr>
      <w:r>
        <w:rPr>
          <w:rFonts w:hint="default" w:ascii="Times New Roman" w:hAnsi="Times New Roman"/>
          <w:b/>
          <w:color w:val="auto"/>
          <w:sz w:val="32"/>
          <w:szCs w:val="32"/>
          <w:highlight w:val="none"/>
        </w:rPr>
        <w:t>公共场所（含大型商业综合体、大型批发市场）消防安全评估：</w:t>
      </w:r>
      <w:r>
        <w:rPr>
          <w:rFonts w:hint="default" w:ascii="Times New Roman" w:hAnsi="Times New Roman"/>
          <w:color w:val="auto"/>
          <w:sz w:val="28"/>
          <w:highlight w:val="none"/>
        </w:rPr>
        <w:t>辖区内存在总建筑面积10000平方米（含）以上大型商业综合体和大型批发市场的重点地区，其大型商业综合体和大型批发市场适用如下（四）《大型商业综合体和大型批发市场消防安全评估细则》。</w:t>
      </w:r>
    </w:p>
    <w:p>
      <w:pPr>
        <w:spacing w:line="560" w:lineRule="exact"/>
        <w:jc w:val="left"/>
        <w:rPr>
          <w:rFonts w:hint="default" w:ascii="Times New Roman" w:hAnsi="Times New Roman"/>
          <w:color w:val="auto"/>
          <w:sz w:val="28"/>
          <w:highlight w:val="none"/>
        </w:rPr>
      </w:pPr>
      <w:r>
        <w:rPr>
          <w:rFonts w:hint="default" w:ascii="Times New Roman" w:hAnsi="Times New Roman" w:eastAsia="宋体" w:cs="Times New Roman"/>
          <w:b/>
          <w:bCs/>
          <w:color w:val="auto"/>
          <w:sz w:val="32"/>
          <w:szCs w:val="32"/>
          <w:highlight w:val="none"/>
          <w:lang w:val="en-US" w:eastAsia="zh-CN"/>
        </w:rPr>
        <w:t>消防技术服务机构对第三方验收结果核查评估</w:t>
      </w:r>
      <w:r>
        <w:rPr>
          <w:rFonts w:hint="default" w:ascii="Times New Roman" w:hAnsi="Times New Roman" w:eastAsia="宋体" w:cs="Times New Roman"/>
          <w:b/>
          <w:bCs/>
          <w:color w:val="auto"/>
          <w:sz w:val="32"/>
          <w:szCs w:val="32"/>
          <w:highlight w:val="none"/>
        </w:rPr>
        <w:t>：</w:t>
      </w:r>
      <w:r>
        <w:rPr>
          <w:rFonts w:hint="default" w:ascii="Times New Roman" w:hAnsi="Times New Roman"/>
          <w:color w:val="auto"/>
          <w:sz w:val="28"/>
          <w:highlight w:val="none"/>
        </w:rPr>
        <w:t>为全面科学地分析</w:t>
      </w:r>
      <w:r>
        <w:rPr>
          <w:rFonts w:hint="default" w:ascii="Times New Roman" w:hAnsi="Times New Roman"/>
          <w:color w:val="auto"/>
          <w:sz w:val="28"/>
          <w:highlight w:val="none"/>
          <w:lang w:val="en-US" w:eastAsia="zh-CN"/>
        </w:rPr>
        <w:t>各</w:t>
      </w:r>
      <w:r>
        <w:rPr>
          <w:rFonts w:hint="eastAsia" w:ascii="Times New Roman" w:hAnsi="Times New Roman"/>
          <w:color w:val="auto"/>
          <w:sz w:val="28"/>
          <w:highlight w:val="none"/>
          <w:lang w:val="en-US" w:eastAsia="zh-CN"/>
        </w:rPr>
        <w:t>区</w:t>
      </w:r>
      <w:r>
        <w:rPr>
          <w:rFonts w:hint="default" w:ascii="Times New Roman" w:hAnsi="Times New Roman"/>
          <w:color w:val="auto"/>
          <w:sz w:val="28"/>
          <w:highlight w:val="none"/>
          <w:lang w:val="en-US" w:eastAsia="zh-CN"/>
        </w:rPr>
        <w:t>火灾隐患重点整治地区的评估验收工作，</w:t>
      </w:r>
      <w:r>
        <w:rPr>
          <w:rFonts w:hint="default" w:ascii="Times New Roman" w:hAnsi="Times New Roman"/>
          <w:color w:val="auto"/>
          <w:sz w:val="28"/>
          <w:highlight w:val="none"/>
        </w:rPr>
        <w:t>客观衡量各地消防工作成效，委托</w:t>
      </w:r>
      <w:r>
        <w:rPr>
          <w:rFonts w:hint="default" w:ascii="Times New Roman" w:hAnsi="Times New Roman"/>
          <w:color w:val="auto"/>
          <w:sz w:val="28"/>
          <w:highlight w:val="none"/>
          <w:lang w:val="en-US" w:eastAsia="zh-CN"/>
        </w:rPr>
        <w:t>消防技术服务</w:t>
      </w:r>
      <w:r>
        <w:rPr>
          <w:rFonts w:hint="default" w:ascii="Times New Roman" w:hAnsi="Times New Roman"/>
          <w:color w:val="auto"/>
          <w:sz w:val="28"/>
          <w:highlight w:val="none"/>
        </w:rPr>
        <w:t>机构对各重点地区</w:t>
      </w:r>
      <w:r>
        <w:rPr>
          <w:rFonts w:hint="default" w:ascii="Times New Roman" w:hAnsi="Times New Roman"/>
          <w:color w:val="auto"/>
          <w:sz w:val="28"/>
          <w:highlight w:val="none"/>
          <w:lang w:val="en-US" w:eastAsia="zh-CN"/>
        </w:rPr>
        <w:t>第三方的验收结果进行核查评估</w:t>
      </w:r>
      <w:r>
        <w:rPr>
          <w:rFonts w:hint="default" w:ascii="Times New Roman" w:hAnsi="Times New Roman"/>
          <w:color w:val="auto"/>
          <w:sz w:val="28"/>
          <w:highlight w:val="none"/>
        </w:rPr>
        <w:t>。该项得分计算公式为：得分=（</w:t>
      </w:r>
      <w:r>
        <w:rPr>
          <w:rFonts w:hint="default" w:ascii="Times New Roman" w:hAnsi="Times New Roman"/>
          <w:color w:val="auto"/>
          <w:sz w:val="28"/>
          <w:highlight w:val="none"/>
          <w:lang w:val="en-US" w:eastAsia="zh-CN"/>
        </w:rPr>
        <w:t>场所实地核查情况得分</w:t>
      </w:r>
      <w:r>
        <w:rPr>
          <w:rFonts w:hint="default" w:ascii="Times New Roman" w:hAnsi="Times New Roman"/>
          <w:color w:val="auto"/>
          <w:sz w:val="28"/>
          <w:highlight w:val="none"/>
        </w:rPr>
        <w:t>*</w:t>
      </w:r>
      <w:r>
        <w:rPr>
          <w:rFonts w:hint="default" w:ascii="Times New Roman" w:hAnsi="Times New Roman"/>
          <w:color w:val="auto"/>
          <w:sz w:val="28"/>
          <w:highlight w:val="none"/>
          <w:lang w:val="en-US" w:eastAsia="zh-CN"/>
        </w:rPr>
        <w:t>8</w:t>
      </w:r>
      <w:r>
        <w:rPr>
          <w:rFonts w:hint="default" w:ascii="Times New Roman" w:hAnsi="Times New Roman"/>
          <w:color w:val="auto"/>
          <w:sz w:val="28"/>
          <w:highlight w:val="none"/>
        </w:rPr>
        <w:t>0%+消防工作满意度得分*</w:t>
      </w:r>
      <w:r>
        <w:rPr>
          <w:rFonts w:hint="default" w:ascii="Times New Roman" w:hAnsi="Times New Roman"/>
          <w:color w:val="auto"/>
          <w:sz w:val="28"/>
          <w:highlight w:val="none"/>
          <w:lang w:val="en-US" w:eastAsia="zh-CN"/>
        </w:rPr>
        <w:t>2</w:t>
      </w:r>
      <w:r>
        <w:rPr>
          <w:rFonts w:hint="default" w:ascii="Times New Roman" w:hAnsi="Times New Roman"/>
          <w:color w:val="auto"/>
          <w:sz w:val="28"/>
          <w:highlight w:val="none"/>
        </w:rPr>
        <w:t>0%）*0.10。如重点地区</w:t>
      </w:r>
      <w:r>
        <w:rPr>
          <w:rFonts w:hint="default" w:ascii="Times New Roman" w:hAnsi="Times New Roman"/>
          <w:color w:val="auto"/>
          <w:sz w:val="28"/>
          <w:highlight w:val="none"/>
          <w:lang w:val="en-US" w:eastAsia="zh-CN"/>
        </w:rPr>
        <w:t>场所实地核查情况得分</w:t>
      </w:r>
      <w:r>
        <w:rPr>
          <w:rFonts w:hint="default" w:ascii="Times New Roman" w:hAnsi="Times New Roman"/>
          <w:color w:val="auto"/>
          <w:sz w:val="28"/>
          <w:highlight w:val="none"/>
        </w:rPr>
        <w:t>为</w:t>
      </w:r>
      <w:r>
        <w:rPr>
          <w:rFonts w:hint="default" w:ascii="Times New Roman" w:hAnsi="Times New Roman"/>
          <w:color w:val="auto"/>
          <w:sz w:val="28"/>
          <w:highlight w:val="none"/>
          <w:lang w:val="en-US" w:eastAsia="zh-CN"/>
        </w:rPr>
        <w:t>8</w:t>
      </w:r>
      <w:r>
        <w:rPr>
          <w:rFonts w:hint="default" w:ascii="Times New Roman" w:hAnsi="Times New Roman"/>
          <w:color w:val="auto"/>
          <w:sz w:val="28"/>
          <w:highlight w:val="none"/>
        </w:rPr>
        <w:t>0分，满意度为90分，则A街道得分为(</w:t>
      </w:r>
      <w:r>
        <w:rPr>
          <w:rFonts w:hint="default" w:ascii="Times New Roman" w:hAnsi="Times New Roman"/>
          <w:color w:val="auto"/>
          <w:sz w:val="28"/>
          <w:highlight w:val="none"/>
          <w:lang w:val="en-US" w:eastAsia="zh-CN"/>
        </w:rPr>
        <w:t>8</w:t>
      </w:r>
      <w:r>
        <w:rPr>
          <w:rFonts w:hint="default" w:ascii="Times New Roman" w:hAnsi="Times New Roman"/>
          <w:color w:val="auto"/>
          <w:sz w:val="28"/>
          <w:highlight w:val="none"/>
        </w:rPr>
        <w:t>0*0.</w:t>
      </w:r>
      <w:r>
        <w:rPr>
          <w:rFonts w:hint="default" w:ascii="Times New Roman" w:hAnsi="Times New Roman"/>
          <w:color w:val="auto"/>
          <w:sz w:val="28"/>
          <w:highlight w:val="none"/>
          <w:lang w:val="en-US" w:eastAsia="zh-CN"/>
        </w:rPr>
        <w:t>8</w:t>
      </w:r>
      <w:r>
        <w:rPr>
          <w:rFonts w:hint="default" w:ascii="Times New Roman" w:hAnsi="Times New Roman"/>
          <w:color w:val="auto"/>
          <w:sz w:val="28"/>
          <w:highlight w:val="none"/>
        </w:rPr>
        <w:t>+90*0.</w:t>
      </w:r>
      <w:r>
        <w:rPr>
          <w:rFonts w:hint="default" w:ascii="Times New Roman" w:hAnsi="Times New Roman"/>
          <w:color w:val="auto"/>
          <w:sz w:val="28"/>
          <w:highlight w:val="none"/>
          <w:lang w:val="en-US" w:eastAsia="zh-CN"/>
        </w:rPr>
        <w:t>2</w:t>
      </w:r>
      <w:r>
        <w:rPr>
          <w:rFonts w:hint="default" w:ascii="Times New Roman" w:hAnsi="Times New Roman"/>
          <w:color w:val="auto"/>
          <w:sz w:val="28"/>
          <w:highlight w:val="none"/>
        </w:rPr>
        <w:t>)*0.10=</w:t>
      </w:r>
      <w:r>
        <w:rPr>
          <w:rFonts w:hint="default" w:ascii="Times New Roman" w:hAnsi="Times New Roman"/>
          <w:color w:val="auto"/>
          <w:sz w:val="28"/>
          <w:highlight w:val="none"/>
          <w:lang w:val="en-US" w:eastAsia="zh-CN"/>
        </w:rPr>
        <w:t>0.82</w:t>
      </w:r>
      <w:r>
        <w:rPr>
          <w:rFonts w:hint="default" w:ascii="Times New Roman" w:hAnsi="Times New Roman"/>
          <w:color w:val="auto"/>
          <w:sz w:val="28"/>
          <w:highlight w:val="none"/>
        </w:rPr>
        <w:t>分。</w:t>
      </w:r>
    </w:p>
    <w:p>
      <w:pPr>
        <w:pStyle w:val="8"/>
        <w:spacing w:line="560" w:lineRule="exact"/>
        <w:rPr>
          <w:rFonts w:hint="eastAsia" w:ascii="Times New Roman" w:hAnsi="Times New Roman"/>
          <w:b w:val="0"/>
          <w:bCs w:val="0"/>
          <w:color w:val="auto"/>
          <w:sz w:val="28"/>
          <w:szCs w:val="22"/>
          <w:highlight w:val="none"/>
        </w:rPr>
      </w:pPr>
      <w:r>
        <w:rPr>
          <w:rFonts w:hint="default" w:ascii="Times New Roman" w:hAnsi="Times New Roman"/>
          <w:color w:val="auto"/>
          <w:highlight w:val="none"/>
          <w:lang w:eastAsia="zh-CN"/>
        </w:rPr>
        <w:t>实地</w:t>
      </w:r>
      <w:r>
        <w:rPr>
          <w:rFonts w:hint="default" w:ascii="Times New Roman" w:hAnsi="Times New Roman"/>
          <w:color w:val="auto"/>
          <w:highlight w:val="none"/>
        </w:rPr>
        <w:t>评估得分计算：</w:t>
      </w:r>
      <w:r>
        <w:rPr>
          <w:rFonts w:hint="eastAsia" w:ascii="Times New Roman" w:hAnsi="Times New Roman"/>
          <w:b w:val="0"/>
          <w:bCs w:val="0"/>
          <w:color w:val="auto"/>
          <w:sz w:val="28"/>
          <w:szCs w:val="22"/>
          <w:highlight w:val="none"/>
        </w:rPr>
        <w:t>某地区“三小”场所的平均分为A，</w:t>
      </w:r>
      <w:r>
        <w:rPr>
          <w:rFonts w:ascii="Times New Roman" w:hAnsi="Times New Roman"/>
          <w:b w:val="0"/>
          <w:bCs w:val="0"/>
          <w:color w:val="auto"/>
          <w:sz w:val="28"/>
          <w:szCs w:val="22"/>
          <w:highlight w:val="none"/>
        </w:rPr>
        <w:t>出租屋</w:t>
      </w:r>
      <w:r>
        <w:rPr>
          <w:rFonts w:hint="eastAsia" w:ascii="Times New Roman" w:hAnsi="Times New Roman"/>
          <w:b w:val="0"/>
          <w:bCs w:val="0"/>
          <w:color w:val="auto"/>
          <w:sz w:val="28"/>
          <w:szCs w:val="22"/>
          <w:highlight w:val="none"/>
        </w:rPr>
        <w:t>的平均分为B，公共场所（含大型商业综合体、大型批发市场）的平均分为C，工业建筑的平均分为D，市政消火栓的得分为E，</w:t>
      </w:r>
      <w:r>
        <w:rPr>
          <w:rFonts w:ascii="Times New Roman" w:hAnsi="Times New Roman"/>
          <w:b w:val="0"/>
          <w:bCs w:val="0"/>
          <w:color w:val="auto"/>
          <w:sz w:val="28"/>
          <w:szCs w:val="22"/>
          <w:highlight w:val="none"/>
        </w:rPr>
        <w:t>多种形式消防队伍建设</w:t>
      </w:r>
      <w:r>
        <w:rPr>
          <w:rFonts w:hint="eastAsia" w:ascii="Times New Roman" w:hAnsi="Times New Roman"/>
          <w:b w:val="0"/>
          <w:bCs w:val="0"/>
          <w:color w:val="auto"/>
          <w:sz w:val="28"/>
          <w:szCs w:val="22"/>
          <w:highlight w:val="none"/>
        </w:rPr>
        <w:t>的得分为F，</w:t>
      </w:r>
      <w:r>
        <w:rPr>
          <w:rFonts w:ascii="Times New Roman" w:hAnsi="Times New Roman"/>
          <w:b w:val="0"/>
          <w:bCs w:val="0"/>
          <w:color w:val="auto"/>
          <w:sz w:val="28"/>
          <w:szCs w:val="22"/>
          <w:highlight w:val="none"/>
        </w:rPr>
        <w:t>消防安全网格化管理</w:t>
      </w:r>
      <w:r>
        <w:rPr>
          <w:rFonts w:hint="eastAsia" w:ascii="Times New Roman" w:hAnsi="Times New Roman"/>
          <w:b w:val="0"/>
          <w:bCs w:val="0"/>
          <w:color w:val="auto"/>
          <w:sz w:val="28"/>
          <w:szCs w:val="22"/>
          <w:highlight w:val="none"/>
        </w:rPr>
        <w:t>得分为G，</w:t>
      </w:r>
      <w:r>
        <w:rPr>
          <w:rFonts w:hint="eastAsia" w:ascii="Times New Roman" w:hAnsi="Times New Roman"/>
          <w:b w:val="0"/>
          <w:bCs w:val="0"/>
          <w:color w:val="auto"/>
          <w:sz w:val="28"/>
          <w:szCs w:val="22"/>
          <w:highlight w:val="none"/>
          <w:lang w:val="en-US" w:eastAsia="zh-CN"/>
        </w:rPr>
        <w:t>消防技术服务机构对第三方验收结果核查评估的</w:t>
      </w:r>
      <w:r>
        <w:rPr>
          <w:rFonts w:hint="eastAsia" w:ascii="Times New Roman" w:hAnsi="Times New Roman"/>
          <w:b w:val="0"/>
          <w:bCs w:val="0"/>
          <w:color w:val="auto"/>
          <w:sz w:val="28"/>
          <w:szCs w:val="22"/>
          <w:highlight w:val="none"/>
        </w:rPr>
        <w:t>得分为</w:t>
      </w:r>
      <w:r>
        <w:rPr>
          <w:rFonts w:hint="default" w:ascii="Times New Roman" w:hAnsi="Times New Roman"/>
          <w:b w:val="0"/>
          <w:bCs w:val="0"/>
          <w:color w:val="auto"/>
          <w:sz w:val="28"/>
          <w:szCs w:val="22"/>
          <w:highlight w:val="none"/>
        </w:rPr>
        <w:t>H</w:t>
      </w:r>
      <w:r>
        <w:rPr>
          <w:rFonts w:hint="eastAsia" w:ascii="Times New Roman" w:hAnsi="Times New Roman"/>
          <w:b w:val="0"/>
          <w:bCs w:val="0"/>
          <w:color w:val="auto"/>
          <w:sz w:val="28"/>
          <w:szCs w:val="22"/>
          <w:highlight w:val="none"/>
        </w:rPr>
        <w:t>，</w:t>
      </w:r>
      <w:r>
        <w:rPr>
          <w:rFonts w:hint="eastAsia" w:ascii="Times New Roman" w:hAnsi="Times New Roman"/>
          <w:b w:val="0"/>
          <w:bCs w:val="0"/>
          <w:color w:val="auto"/>
          <w:sz w:val="28"/>
          <w:szCs w:val="22"/>
          <w:highlight w:val="none"/>
          <w:lang w:eastAsia="zh-CN"/>
        </w:rPr>
        <w:t>直接</w:t>
      </w:r>
      <w:r>
        <w:rPr>
          <w:rFonts w:hint="eastAsia" w:ascii="Times New Roman" w:hAnsi="Times New Roman"/>
          <w:b w:val="0"/>
          <w:bCs w:val="0"/>
          <w:color w:val="auto"/>
          <w:sz w:val="28"/>
          <w:szCs w:val="22"/>
          <w:highlight w:val="none"/>
        </w:rPr>
        <w:t>扣分项为</w:t>
      </w:r>
      <w:r>
        <w:rPr>
          <w:rFonts w:ascii="Times New Roman" w:hAnsi="Times New Roman"/>
          <w:b w:val="0"/>
          <w:bCs w:val="0"/>
          <w:color w:val="auto"/>
          <w:sz w:val="28"/>
          <w:szCs w:val="22"/>
          <w:highlight w:val="none"/>
        </w:rPr>
        <w:object>
          <v:shape id="_x0000_i1026" o:spt="75" type="#_x0000_t75" style="height:13.95pt;width:11pt;" o:ole="t" filled="f" o:preferrelative="t" stroked="f" coordsize="21600,21600">
            <v:path/>
            <v:fill on="f" focussize="0,0"/>
            <v:stroke on="f"/>
            <v:imagedata r:id="rId31" embosscolor="#FFFFFF" o:title=""/>
            <o:lock v:ext="edit" grouping="f" rotation="f" text="f" aspectratio="t"/>
            <w10:wrap type="none"/>
            <w10:anchorlock/>
          </v:shape>
          <o:OLEObject Type="Embed" ProgID="Equation.3" ShapeID="_x0000_i1026" DrawAspect="Content" ObjectID="_1468075726" r:id="rId30">
            <o:LockedField>false</o:LockedField>
          </o:OLEObject>
        </w:object>
      </w:r>
      <w:r>
        <w:rPr>
          <w:rFonts w:hint="eastAsia" w:ascii="Times New Roman" w:hAnsi="Times New Roman"/>
          <w:b w:val="0"/>
          <w:bCs w:val="0"/>
          <w:color w:val="auto"/>
          <w:sz w:val="28"/>
          <w:szCs w:val="22"/>
          <w:highlight w:val="none"/>
        </w:rPr>
        <w:t>，则该地区的</w:t>
      </w:r>
      <w:r>
        <w:rPr>
          <w:rFonts w:hint="eastAsia" w:ascii="Times New Roman" w:hAnsi="Times New Roman"/>
          <w:b w:val="0"/>
          <w:bCs w:val="0"/>
          <w:color w:val="auto"/>
          <w:sz w:val="28"/>
          <w:szCs w:val="22"/>
          <w:highlight w:val="none"/>
          <w:lang w:eastAsia="zh-CN"/>
        </w:rPr>
        <w:t>实地评估</w:t>
      </w:r>
      <w:r>
        <w:rPr>
          <w:rFonts w:hint="eastAsia" w:ascii="Times New Roman" w:hAnsi="Times New Roman"/>
          <w:b w:val="0"/>
          <w:bCs w:val="0"/>
          <w:color w:val="auto"/>
          <w:sz w:val="28"/>
          <w:szCs w:val="22"/>
          <w:highlight w:val="none"/>
        </w:rPr>
        <w:t>得分M的计算方法为：</w:t>
      </w:r>
    </w:p>
    <w:p>
      <w:pPr>
        <w:rPr>
          <w:rFonts w:hint="default" w:ascii="Times New Roman" w:hAnsi="Times New Roman"/>
          <w:color w:val="auto"/>
          <w:highlight w:val="none"/>
        </w:rPr>
      </w:pPr>
      <w:r>
        <w:rPr>
          <w:rFonts w:hint="default" w:ascii="Times New Roman" w:hAnsi="Times New Roman"/>
          <w:color w:val="auto"/>
          <w:sz w:val="28"/>
          <w:szCs w:val="28"/>
          <w:highlight w:val="none"/>
        </w:rPr>
        <w:t>M=</w:t>
      </w:r>
      <w:r>
        <w:rPr>
          <w:rFonts w:ascii="Times New Roman" w:hAnsi="Times New Roman"/>
          <w:color w:val="auto"/>
          <w:position w:val="-10"/>
          <w:highlight w:val="none"/>
        </w:rPr>
        <w:object>
          <v:shape id="_x0000_i1027" o:spt="75" type="#_x0000_t75" style="height:16pt;width:8pt;" o:ole="t" filled="f" o:preferrelative="t" stroked="f" coordsize="21600,21600">
            <v:path/>
            <v:fill on="f" focussize="0,0"/>
            <v:stroke on="f"/>
            <v:imagedata r:id="rId33" embosscolor="#FFFFFF" o:title=""/>
            <o:lock v:ext="edit" grouping="f" rotation="f" text="f" aspectratio="t"/>
            <w10:wrap type="none"/>
            <w10:anchorlock/>
          </v:shape>
          <o:OLEObject Type="Embed" ProgID="Equation.3" ShapeID="_x0000_i1027" DrawAspect="Content" ObjectID="_1468075727" r:id="rId32">
            <o:LockedField>false</o:LockedField>
          </o:OLEObject>
        </w:object>
      </w:r>
      <w:r>
        <w:rPr>
          <w:rFonts w:ascii="Times New Roman" w:hAnsi="Times New Roman"/>
          <w:color w:val="auto"/>
          <w:highlight w:val="none"/>
        </w:rPr>
        <w:t xml:space="preserve"> </w:t>
      </w:r>
      <w:r>
        <w:rPr>
          <w:rFonts w:ascii="Times New Roman" w:hAnsi="Times New Roman"/>
          <w:color w:val="auto"/>
          <w:position w:val="-4"/>
          <w:highlight w:val="none"/>
        </w:rPr>
        <w:object>
          <v:shape id="_x0000_i1028" o:spt="75" type="#_x0000_t75" style="height:13pt;width:12pt;" o:ole="t" filled="f" o:preferrelative="t" stroked="f" coordsize="21600,21600">
            <v:path/>
            <v:fill on="f" focussize="0,0"/>
            <v:stroke on="f"/>
            <v:imagedata r:id="rId35" embosscolor="#FFFFFF" o:title=""/>
            <o:lock v:ext="edit" grouping="f" rotation="f" text="f" aspectratio="t"/>
            <w10:wrap type="none"/>
            <w10:anchorlock/>
          </v:shape>
          <o:OLEObject Type="Embed" ProgID="Equation.3" ShapeID="_x0000_i1028" DrawAspect="Content" ObjectID="_1468075728" r:id="rId34">
            <o:LockedField>false</o:LockedField>
          </o:OLEObject>
        </w:object>
      </w:r>
      <w:r>
        <w:rPr>
          <w:rFonts w:ascii="Times New Roman" w:hAnsi="Times New Roman"/>
          <w:color w:val="auto"/>
          <w:position w:val="-4"/>
          <w:highlight w:val="none"/>
        </w:rPr>
        <w:object>
          <v:shape id="_x0000_i1029" o:spt="75" type="#_x0000_t75" style="height:10pt;width:9pt;" o:ole="t" filled="f" o:preferrelative="t" stroked="f" coordsize="21600,21600">
            <v:path/>
            <v:fill on="f" focussize="0,0"/>
            <v:stroke on="f"/>
            <v:imagedata r:id="rId37" embosscolor="#FFFFFF" o:title=""/>
            <o:lock v:ext="edit" grouping="f" rotation="f" text="f" aspectratio="t"/>
            <w10:wrap type="none"/>
            <w10:anchorlock/>
          </v:shape>
          <o:OLEObject Type="Embed" ProgID="Equation.3" ShapeID="_x0000_i1029" DrawAspect="Content" ObjectID="_1468075729" r:id="rId36">
            <o:LockedField>false</o:LockedField>
          </o:OLEObject>
        </w:object>
      </w:r>
      <w:r>
        <w:rPr>
          <w:rFonts w:ascii="Times New Roman" w:hAnsi="Times New Roman"/>
          <w:color w:val="auto"/>
          <w:position w:val="-10"/>
          <w:highlight w:val="none"/>
        </w:rPr>
        <w:object>
          <v:shape id="_x0000_i1030" o:spt="75" type="#_x0000_t75" style="height:17pt;width:16pt;" o:ole="t" filled="f" o:preferrelative="t" stroked="f" coordsize="21600,21600">
            <v:path/>
            <v:fill on="f" focussize="0,0"/>
            <v:stroke on="f"/>
            <v:imagedata r:id="rId39" embosscolor="#FFFFFF" o:title=""/>
            <o:lock v:ext="edit" grouping="f" rotation="f" text="f" aspectratio="t"/>
            <w10:wrap type="none"/>
            <w10:anchorlock/>
          </v:shape>
          <o:OLEObject Type="Embed" ProgID="Equation.3" ShapeID="_x0000_i1030" DrawAspect="Content" ObjectID="_1468075730" r:id="rId38">
            <o:LockedField>false</o:LockedField>
          </o:OLEObject>
        </w:object>
      </w:r>
      <w:r>
        <w:rPr>
          <w:rFonts w:hint="default" w:ascii="Times New Roman" w:hAnsi="Times New Roman"/>
          <w:color w:val="auto"/>
          <w:highlight w:val="none"/>
        </w:rPr>
        <w:t>+</w:t>
      </w:r>
      <w:r>
        <w:rPr>
          <w:rFonts w:ascii="Times New Roman" w:hAnsi="Times New Roman"/>
          <w:color w:val="auto"/>
          <w:position w:val="-4"/>
          <w:highlight w:val="none"/>
        </w:rPr>
        <w:object>
          <v:shape id="_x0000_i1031" o:spt="75" type="#_x0000_t75" style="height:13pt;width:12pt;" o:ole="t" filled="f" o:preferrelative="t" stroked="f" coordsize="21600,21600">
            <v:path/>
            <v:fill on="f" focussize="0,0"/>
            <v:stroke on="f"/>
            <v:imagedata r:id="rId41" embosscolor="#FFFFFF" o:title=""/>
            <o:lock v:ext="edit" grouping="f" rotation="f" text="f" aspectratio="t"/>
            <w10:wrap type="none"/>
            <w10:anchorlock/>
          </v:shape>
          <o:OLEObject Type="Embed" ProgID="Equation.3" ShapeID="_x0000_i1031" DrawAspect="Content" ObjectID="_1468075731" r:id="rId40">
            <o:LockedField>false</o:LockedField>
          </o:OLEObject>
        </w:object>
      </w:r>
      <w:r>
        <w:rPr>
          <w:rFonts w:ascii="Times New Roman" w:hAnsi="Times New Roman"/>
          <w:color w:val="auto"/>
          <w:position w:val="-4"/>
          <w:highlight w:val="none"/>
        </w:rPr>
        <w:object>
          <v:shape id="_x0000_i1032" o:spt="75" type="#_x0000_t75" style="height:10pt;width:9pt;" o:ole="t" filled="f" o:preferrelative="t" stroked="f" coordsize="21600,21600">
            <v:path/>
            <v:fill on="f" focussize="0,0"/>
            <v:stroke on="f"/>
            <v:imagedata r:id="rId37" embosscolor="#FFFFFF" o:title=""/>
            <o:lock v:ext="edit" grouping="f" rotation="f" text="f" aspectratio="t"/>
            <w10:wrap type="none"/>
            <w10:anchorlock/>
          </v:shape>
          <o:OLEObject Type="Embed" ProgID="Equation.3" ShapeID="_x0000_i1032" DrawAspect="Content" ObjectID="_1468075732" r:id="rId42">
            <o:LockedField>false</o:LockedField>
          </o:OLEObject>
        </w:object>
      </w:r>
      <w:r>
        <w:rPr>
          <w:rFonts w:ascii="Times New Roman" w:hAnsi="Times New Roman"/>
          <w:color w:val="auto"/>
          <w:position w:val="-10"/>
          <w:highlight w:val="none"/>
        </w:rPr>
        <w:object>
          <v:shape id="_x0000_i1033" o:spt="75" type="#_x0000_t75" style="height:17pt;width:16pt;" o:ole="t" filled="f" o:preferrelative="t" stroked="f" coordsize="21600,21600">
            <v:path/>
            <v:fill on="f" focussize="0,0"/>
            <v:stroke on="f"/>
            <v:imagedata r:id="rId44" embosscolor="#FFFFFF" o:title=""/>
            <o:lock v:ext="edit" grouping="f" rotation="f" text="f" aspectratio="t"/>
            <w10:wrap type="none"/>
            <w10:anchorlock/>
          </v:shape>
          <o:OLEObject Type="Embed" ProgID="Equation.3" ShapeID="_x0000_i1033" DrawAspect="Content" ObjectID="_1468075733" r:id="rId43">
            <o:LockedField>false</o:LockedField>
          </o:OLEObject>
        </w:object>
      </w:r>
      <w:r>
        <w:rPr>
          <w:rFonts w:ascii="Times New Roman" w:hAnsi="Times New Roman"/>
          <w:color w:val="auto"/>
          <w:position w:val="-12"/>
          <w:highlight w:val="none"/>
        </w:rPr>
        <w:object>
          <v:shape id="_x0000_i1034" o:spt="75" type="#_x0000_t75" style="height:18pt;width:42.95pt;" o:ole="t" filled="f" o:preferrelative="t" stroked="f" coordsize="21600,21600">
            <v:path/>
            <v:fill on="f" focussize="0,0"/>
            <v:stroke on="f"/>
            <v:imagedata r:id="rId46" embosscolor="#FFFFFF" o:title=""/>
            <o:lock v:ext="edit" grouping="f" rotation="f" text="f" aspectratio="t"/>
            <w10:wrap type="none"/>
            <w10:anchorlock/>
          </v:shape>
          <o:OLEObject Type="Embed" ProgID="Equation.3" ShapeID="_x0000_i1034" DrawAspect="Content" ObjectID="_1468075734" r:id="rId45">
            <o:LockedField>false</o:LockedField>
          </o:OLEObject>
        </w:object>
      </w:r>
      <w:r>
        <w:rPr>
          <w:rFonts w:ascii="Times New Roman" w:hAnsi="Times New Roman"/>
          <w:color w:val="auto"/>
          <w:position w:val="-10"/>
          <w:highlight w:val="none"/>
        </w:rPr>
        <w:object>
          <v:shape id="_x0000_i1035" o:spt="75" type="#_x0000_t75" style="height:17pt;width:45pt;" o:ole="t" filled="f" o:preferrelative="t" stroked="f" coordsize="21600,21600">
            <v:path/>
            <v:fill on="f" focussize="0,0"/>
            <v:stroke on="f"/>
            <v:imagedata r:id="rId48" embosscolor="#FFFFFF" o:title=""/>
            <o:lock v:ext="edit" grouping="f" rotation="f" text="f" aspectratio="t"/>
            <w10:wrap type="none"/>
            <w10:anchorlock/>
          </v:shape>
          <o:OLEObject Type="Embed" ProgID="Equation.3" ShapeID="_x0000_i1035" DrawAspect="Content" ObjectID="_1468075735" r:id="rId47">
            <o:LockedField>false</o:LockedField>
          </o:OLEObject>
        </w:object>
      </w:r>
      <w:r>
        <w:rPr>
          <w:rFonts w:ascii="Times New Roman" w:hAnsi="Times New Roman"/>
          <w:color w:val="auto"/>
          <w:position w:val="-10"/>
          <w:highlight w:val="none"/>
        </w:rPr>
        <w:object>
          <v:shape id="_x0000_i1036" o:spt="75" type="#_x0000_t75" style="height:17pt;width:42.95pt;" o:ole="t" filled="f" o:preferrelative="t" stroked="f" coordsize="21600,21600">
            <v:path/>
            <v:fill on="f" focussize="0,0"/>
            <v:stroke on="f"/>
            <v:imagedata r:id="rId50" embosscolor="#FFFFFF" o:title=""/>
            <o:lock v:ext="edit" grouping="f" rotation="f" text="f" aspectratio="t"/>
            <w10:wrap type="none"/>
            <w10:anchorlock/>
          </v:shape>
          <o:OLEObject Type="Embed" ProgID="Equation.3" ShapeID="_x0000_i1036" DrawAspect="Content" ObjectID="_1468075736" r:id="rId49">
            <o:LockedField>false</o:LockedField>
          </o:OLEObject>
        </w:object>
      </w:r>
      <w:r>
        <w:rPr>
          <w:rFonts w:ascii="Times New Roman" w:hAnsi="Times New Roman"/>
          <w:color w:val="auto"/>
          <w:position w:val="-10"/>
          <w:highlight w:val="none"/>
        </w:rPr>
        <w:object>
          <v:shape id="_x0000_i1037" o:spt="75" type="#_x0000_t75" style="height:17pt;width:44pt;" o:ole="t" filled="f" o:preferrelative="t" stroked="f" coordsize="21600,21600">
            <v:path/>
            <v:fill on="f" focussize="0,0"/>
            <v:stroke on="f"/>
            <v:imagedata r:id="rId52" embosscolor="#FFFFFF" o:title=""/>
            <o:lock v:ext="edit" grouping="f" rotation="f" text="f" aspectratio="t"/>
            <w10:wrap type="none"/>
            <w10:anchorlock/>
          </v:shape>
          <o:OLEObject Type="Embed" ProgID="Equation.3" ShapeID="_x0000_i1037" DrawAspect="Content" ObjectID="_1468075737" r:id="rId51">
            <o:LockedField>false</o:LockedField>
          </o:OLEObject>
        </w:object>
      </w:r>
      <w:r>
        <w:rPr>
          <w:rFonts w:ascii="Times New Roman" w:hAnsi="Times New Roman"/>
          <w:color w:val="auto"/>
          <w:position w:val="-12"/>
          <w:highlight w:val="none"/>
        </w:rPr>
        <w:object>
          <v:shape id="_x0000_i1038" o:spt="75" type="#_x0000_t75" style="height:18pt;width:44pt;" o:ole="t" filled="f" o:preferrelative="t" stroked="f" coordsize="21600,21600">
            <v:path/>
            <v:fill on="f" focussize="0,0"/>
            <v:stroke on="f"/>
            <v:imagedata r:id="rId54" embosscolor="#FFFFFF" o:title=""/>
            <o:lock v:ext="edit" grouping="f" rotation="f" text="f" aspectratio="t"/>
            <w10:wrap type="none"/>
            <w10:anchorlock/>
          </v:shape>
          <o:OLEObject Type="Embed" ProgID="Equation.3" ShapeID="_x0000_i1038" DrawAspect="Content" ObjectID="_1468075738" r:id="rId53">
            <o:LockedField>false</o:LockedField>
          </o:OLEObject>
        </w:object>
      </w:r>
      <w:r>
        <w:rPr>
          <w:rFonts w:ascii="Times New Roman" w:hAnsi="Times New Roman"/>
          <w:color w:val="auto"/>
          <w:position w:val="-4"/>
          <w:highlight w:val="none"/>
        </w:rPr>
        <w:object>
          <v:shape id="_x0000_i1039" o:spt="75" type="#_x0000_t75" style="height:11pt;width:11pt;" o:ole="t" filled="f" o:preferrelative="t" stroked="f" coordsize="21600,21600">
            <v:path/>
            <v:fill on="f" focussize="0,0"/>
            <v:stroke on="f"/>
            <v:imagedata r:id="rId56" embosscolor="#FFFFFF" o:title=""/>
            <o:lock v:ext="edit" grouping="f" rotation="f" text="f" aspectratio="t"/>
            <w10:wrap type="none"/>
            <w10:anchorlock/>
          </v:shape>
          <o:OLEObject Type="Embed" ProgID="Equation.3" ShapeID="_x0000_i1039" DrawAspect="Content" ObjectID="_1468075739" r:id="rId55">
            <o:LockedField>false</o:LockedField>
          </o:OLEObject>
        </w:object>
      </w:r>
      <w:r>
        <w:rPr>
          <w:rFonts w:hint="default" w:ascii="Times New Roman" w:hAnsi="Times New Roman"/>
          <w:color w:val="auto"/>
          <w:highlight w:val="none"/>
        </w:rPr>
        <w:t>H</w:t>
      </w:r>
      <w:r>
        <w:rPr>
          <w:rFonts w:ascii="Times New Roman" w:hAnsi="Times New Roman"/>
          <w:color w:val="auto"/>
          <w:position w:val="-4"/>
          <w:highlight w:val="none"/>
        </w:rPr>
        <w:object>
          <v:shape id="_x0000_i1040" o:spt="75" type="#_x0000_t75" style="height:10pt;width:9pt;" o:ole="t" filled="f" o:preferrelative="t" stroked="f" coordsize="21600,21600">
            <v:path/>
            <v:fill on="f" focussize="0,0"/>
            <v:stroke on="f"/>
            <v:imagedata r:id="rId37" embosscolor="#FFFFFF" o:title=""/>
            <o:lock v:ext="edit" grouping="f" rotation="f" text="f" aspectratio="t"/>
            <w10:wrap type="none"/>
            <w10:anchorlock/>
          </v:shape>
          <o:OLEObject Type="Embed" ProgID="Equation.3" ShapeID="_x0000_i1040" DrawAspect="Content" ObjectID="_1468075740" r:id="rId57">
            <o:LockedField>false</o:LockedField>
          </o:OLEObject>
        </w:object>
      </w:r>
      <w:r>
        <w:rPr>
          <w:rFonts w:ascii="Times New Roman" w:hAnsi="Times New Roman"/>
          <w:color w:val="auto"/>
          <w:position w:val="-6"/>
          <w:highlight w:val="none"/>
        </w:rPr>
        <w:object>
          <v:shape id="_x0000_i1041" o:spt="75" type="#_x0000_t75" style="height:10.85pt;width:11.85pt;" o:ole="t" filled="f" o:preferrelative="t" stroked="f" coordsize="21600,21600">
            <v:path/>
            <v:fill on="f" focussize="0,0"/>
            <v:stroke on="f"/>
            <v:imagedata r:id="rId59" embosscolor="#FFFFFF" o:title=""/>
            <o:lock v:ext="edit" grouping="f" rotation="f" text="f" aspectratio="t"/>
            <w10:wrap type="none"/>
            <w10:anchorlock/>
          </v:shape>
          <o:OLEObject Type="Embed" ProgID="Equation.3" ShapeID="_x0000_i1041" DrawAspect="Content" ObjectID="_1468075741" r:id="rId58">
            <o:LockedField>false</o:LockedField>
          </o:OLEObject>
        </w:object>
      </w:r>
      <w:r>
        <w:rPr>
          <w:rFonts w:hint="default" w:ascii="Times New Roman" w:hAnsi="Times New Roman"/>
          <w:color w:val="auto"/>
          <w:szCs w:val="21"/>
          <w:highlight w:val="none"/>
          <w:vertAlign w:val="subscript"/>
        </w:rPr>
        <w:t>H</w:t>
      </w:r>
      <w:r>
        <w:rPr>
          <w:rFonts w:ascii="Times New Roman" w:hAnsi="Times New Roman"/>
          <w:color w:val="auto"/>
          <w:highlight w:val="none"/>
        </w:rPr>
        <w:t xml:space="preserve"> </w:t>
      </w:r>
      <w:r>
        <w:rPr>
          <w:rFonts w:hint="default" w:ascii="Times New Roman" w:hAnsi="Times New Roman"/>
          <w:color w:val="auto"/>
          <w:highlight w:val="none"/>
        </w:rPr>
        <w:t>+</w:t>
      </w:r>
      <w:r>
        <w:rPr>
          <w:rFonts w:ascii="Times New Roman" w:hAnsi="Times New Roman"/>
          <w:color w:val="auto"/>
          <w:position w:val="-10"/>
          <w:highlight w:val="none"/>
        </w:rPr>
        <w:object>
          <v:shape id="_x0000_i1042" o:spt="75" type="#_x0000_t75" style="height:16pt;width:40.05pt;" o:ole="t" filled="f" o:preferrelative="t" stroked="f" coordsize="21600,21600">
            <v:path/>
            <v:fill on="f" focussize="0,0"/>
            <v:stroke on="f"/>
            <v:imagedata r:id="rId61" embosscolor="#FFFFFF" o:title=""/>
            <o:lock v:ext="edit" grouping="f" rotation="f" text="f" aspectratio="t"/>
            <w10:wrap type="none"/>
            <w10:anchorlock/>
          </v:shape>
          <o:OLEObject Type="Embed" ProgID="Equation.3" ShapeID="_x0000_i1042" DrawAspect="Content" ObjectID="_1468075742" r:id="rId60">
            <o:LockedField>false</o:LockedField>
          </o:OLEObject>
        </w:object>
      </w:r>
      <w:r>
        <w:rPr>
          <w:rFonts w:ascii="Times New Roman" w:hAnsi="Times New Roman"/>
          <w:color w:val="auto"/>
          <w:position w:val="-6"/>
          <w:highlight w:val="none"/>
        </w:rPr>
        <w:object>
          <v:shape id="_x0000_i1043" o:spt="75" type="#_x0000_t75" style="height:13.95pt;width:11pt;" o:ole="t" filled="f" o:preferrelative="t" stroked="f" coordsize="21600,21600">
            <v:path/>
            <v:fill on="f" focussize="0,0"/>
            <v:stroke on="f"/>
            <v:imagedata r:id="rId63" embosscolor="#FFFFFF" o:title=""/>
            <o:lock v:ext="edit" grouping="f" rotation="f" text="f" aspectratio="t"/>
            <w10:wrap type="none"/>
            <w10:anchorlock/>
          </v:shape>
          <o:OLEObject Type="Embed" ProgID="Equation.3" ShapeID="_x0000_i1043" DrawAspect="Content" ObjectID="_1468075743" r:id="rId62">
            <o:LockedField>false</o:LockedField>
          </o:OLEObject>
        </w:object>
      </w:r>
    </w:p>
    <w:p>
      <w:pPr>
        <w:rPr>
          <w:rFonts w:hint="default" w:ascii="Times New Roman" w:hAnsi="Times New Roman"/>
          <w:color w:val="auto"/>
          <w:highlight w:val="none"/>
        </w:rPr>
      </w:pPr>
    </w:p>
    <w:p>
      <w:pPr>
        <w:pStyle w:val="8"/>
        <w:spacing w:line="560" w:lineRule="exact"/>
        <w:rPr>
          <w:rFonts w:ascii="Times New Roman" w:hAnsi="Times New Roman"/>
          <w:color w:val="auto"/>
          <w:highlight w:val="none"/>
        </w:rPr>
      </w:pPr>
      <w:r>
        <w:rPr>
          <w:rFonts w:hint="default" w:ascii="Times New Roman" w:hAnsi="Times New Roman"/>
          <w:color w:val="auto"/>
          <w:highlight w:val="none"/>
        </w:rPr>
        <w:t>名词释义</w:t>
      </w:r>
      <w:r>
        <w:rPr>
          <w:rFonts w:ascii="Times New Roman" w:hAnsi="Times New Roman"/>
          <w:color w:val="auto"/>
          <w:highlight w:val="none"/>
        </w:rPr>
        <w:t>：</w:t>
      </w:r>
    </w:p>
    <w:p>
      <w:pPr>
        <w:spacing w:line="560" w:lineRule="exact"/>
        <w:jc w:val="left"/>
        <w:rPr>
          <w:rFonts w:hint="default" w:ascii="Times New Roman" w:hAnsi="Times New Roman"/>
          <w:color w:val="auto"/>
          <w:sz w:val="28"/>
          <w:highlight w:val="none"/>
        </w:rPr>
      </w:pPr>
      <w:r>
        <w:rPr>
          <w:rFonts w:hint="default" w:ascii="Times New Roman" w:hAnsi="Times New Roman"/>
          <w:color w:val="auto"/>
          <w:sz w:val="28"/>
          <w:highlight w:val="none"/>
        </w:rPr>
        <w:t>1、“三小”场所即小档口、小作坊、小娱乐场所。小档口是指建筑面积在300m²以下具有销售、服务性质的商店、营业性的饮食店、汽车摩托车修理店、洗衣店、电器维修店、美容美发店（院）等场所；小作坊是指建筑高度不超过24m，且每层建筑面积在250m²以下，具有加工、生产、制造性质,火灾危险性为丙、丁、戊类的场所（含配套的仓库、办公、值班住宿等场所；小娱乐场所是指建筑面积在200m²以下的具有休闲、娱乐功能的酒吧、茶艺馆、沐足屋、棋牌室（含麻将房）、桌球室等场所。</w:t>
      </w:r>
    </w:p>
    <w:p>
      <w:pPr>
        <w:spacing w:line="560" w:lineRule="exact"/>
        <w:jc w:val="left"/>
        <w:rPr>
          <w:rFonts w:ascii="Times New Roman" w:hAnsi="Times New Roman"/>
          <w:color w:val="auto"/>
          <w:sz w:val="28"/>
          <w:highlight w:val="none"/>
        </w:rPr>
      </w:pPr>
      <w:r>
        <w:rPr>
          <w:rFonts w:hint="default" w:ascii="Times New Roman" w:hAnsi="Times New Roman"/>
          <w:color w:val="auto"/>
          <w:sz w:val="28"/>
          <w:highlight w:val="none"/>
        </w:rPr>
        <w:t>2、出租屋是指旅馆业以外以营利为目的，公民私有或单位所有出租用于他人居住的房屋。</w:t>
      </w:r>
    </w:p>
    <w:p>
      <w:pPr>
        <w:spacing w:line="560" w:lineRule="exact"/>
        <w:jc w:val="left"/>
        <w:rPr>
          <w:rFonts w:hint="default" w:ascii="Times New Roman" w:hAnsi="Times New Roman"/>
          <w:color w:val="auto"/>
          <w:sz w:val="28"/>
          <w:highlight w:val="none"/>
        </w:rPr>
      </w:pPr>
      <w:r>
        <w:rPr>
          <w:rFonts w:hint="default" w:ascii="Times New Roman" w:hAnsi="Times New Roman"/>
          <w:color w:val="auto"/>
          <w:sz w:val="28"/>
          <w:highlight w:val="none"/>
        </w:rPr>
        <w:t>3、公共场所是指提供公众进行工作、学习、经济、文化、社交、娱乐、体育、参观、医疗、卫生、休息、旅游和满足部分生活需求所使用的一切公用建筑物、场所。包含宾馆、酒店、歌舞娱乐放映游艺、车站、码头、体育场、展厅、机关、团体、企业、事业、单位等。</w:t>
      </w:r>
    </w:p>
    <w:p>
      <w:pPr>
        <w:spacing w:line="560" w:lineRule="exact"/>
        <w:jc w:val="left"/>
        <w:rPr>
          <w:rFonts w:ascii="Times New Roman" w:hAnsi="Times New Roman"/>
          <w:color w:val="auto"/>
          <w:sz w:val="28"/>
          <w:highlight w:val="none"/>
        </w:rPr>
      </w:pPr>
      <w:r>
        <w:rPr>
          <w:rFonts w:hint="default" w:ascii="Times New Roman" w:hAnsi="Times New Roman"/>
          <w:color w:val="auto"/>
          <w:sz w:val="28"/>
          <w:highlight w:val="none"/>
        </w:rPr>
        <w:t>4、大型商业综合体是指建筑面积</w:t>
      </w:r>
      <w:r>
        <w:rPr>
          <w:rFonts w:hint="default" w:ascii="Times New Roman" w:hAnsi="Times New Roman"/>
          <w:color w:val="auto"/>
          <w:sz w:val="28"/>
          <w:highlight w:val="none"/>
          <w:lang w:val="en-US" w:eastAsia="zh-CN"/>
        </w:rPr>
        <w:t>5</w:t>
      </w:r>
      <w:r>
        <w:rPr>
          <w:rFonts w:ascii="Times New Roman" w:hAnsi="Times New Roman"/>
          <w:color w:val="auto"/>
          <w:sz w:val="28"/>
          <w:highlight w:val="none"/>
        </w:rPr>
        <w:t xml:space="preserve">0000 </w:t>
      </w:r>
      <w:r>
        <w:rPr>
          <w:rFonts w:hint="default" w:ascii="Times New Roman" w:hAnsi="Times New Roman"/>
          <w:color w:val="auto"/>
          <w:sz w:val="28"/>
          <w:highlight w:val="none"/>
        </w:rPr>
        <w:t>平方米（含）以上的集购物、旅店、展览、餐饮、文娱、交通枢纽等两种或两种以上功能于一体的城市商业综合体（不包括住宅和写字楼部分的建筑面积）；大型批发市场是指总建筑面积</w:t>
      </w:r>
      <w:r>
        <w:rPr>
          <w:rFonts w:hint="default" w:ascii="Times New Roman" w:hAnsi="Times New Roman"/>
          <w:color w:val="auto"/>
          <w:sz w:val="28"/>
          <w:highlight w:val="none"/>
          <w:lang w:val="en-US" w:eastAsia="zh-CN"/>
        </w:rPr>
        <w:t>5</w:t>
      </w:r>
      <w:r>
        <w:rPr>
          <w:rFonts w:ascii="Times New Roman" w:hAnsi="Times New Roman"/>
          <w:color w:val="auto"/>
          <w:sz w:val="28"/>
          <w:highlight w:val="none"/>
        </w:rPr>
        <w:t xml:space="preserve">0000 </w:t>
      </w:r>
      <w:r>
        <w:rPr>
          <w:rFonts w:hint="default" w:ascii="Times New Roman" w:hAnsi="Times New Roman"/>
          <w:color w:val="auto"/>
          <w:sz w:val="28"/>
          <w:highlight w:val="none"/>
        </w:rPr>
        <w:t>平方米（含）以上的大型批发市场。</w:t>
      </w:r>
    </w:p>
    <w:p>
      <w:pPr>
        <w:spacing w:line="560" w:lineRule="exact"/>
        <w:jc w:val="left"/>
        <w:rPr>
          <w:rFonts w:hint="default" w:ascii="Times New Roman" w:hAnsi="Times New Roman"/>
          <w:color w:val="auto"/>
          <w:sz w:val="28"/>
          <w:highlight w:val="none"/>
        </w:rPr>
      </w:pPr>
      <w:r>
        <w:rPr>
          <w:rFonts w:hint="default" w:ascii="Times New Roman" w:hAnsi="Times New Roman"/>
          <w:color w:val="auto"/>
          <w:sz w:val="28"/>
          <w:highlight w:val="none"/>
        </w:rPr>
        <w:t>5、工业建筑是指供人们从事各类生产活动的建（构）筑物。包含各类工厂、仓库；堆垛场、储罐区；加油、加气站；变配电站等。</w:t>
      </w:r>
    </w:p>
    <w:p>
      <w:pPr>
        <w:pStyle w:val="8"/>
        <w:jc w:val="center"/>
        <w:rPr>
          <w:rFonts w:ascii="Times New Roman" w:hAnsi="Times New Roman"/>
          <w:color w:val="auto"/>
          <w:highlight w:val="none"/>
        </w:rPr>
      </w:pPr>
      <w:r>
        <w:rPr>
          <w:rFonts w:ascii="Times New Roman" w:hAnsi="Times New Roman"/>
          <w:color w:val="auto"/>
          <w:highlight w:val="none"/>
        </w:rPr>
        <w:t>（一）“三小”场所消防安全评估细则（100分）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2854"/>
        <w:gridCol w:w="6521"/>
        <w:gridCol w:w="163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1401"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检查项目</w:t>
            </w:r>
          </w:p>
        </w:tc>
        <w:tc>
          <w:tcPr>
            <w:tcW w:w="2854"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检查内容</w:t>
            </w:r>
          </w:p>
        </w:tc>
        <w:tc>
          <w:tcPr>
            <w:tcW w:w="6521"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检查标准</w:t>
            </w:r>
          </w:p>
        </w:tc>
        <w:tc>
          <w:tcPr>
            <w:tcW w:w="1635"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检查方法</w:t>
            </w:r>
          </w:p>
        </w:tc>
        <w:tc>
          <w:tcPr>
            <w:tcW w:w="1410"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建筑防火及安全疏散</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55</w:t>
            </w:r>
            <w:r>
              <w:rPr>
                <w:rFonts w:ascii="Times New Roman" w:hAnsi="Times New Roman"/>
                <w:b/>
                <w:color w:val="auto"/>
                <w:kern w:val="0"/>
                <w:sz w:val="24"/>
                <w:highlight w:val="none"/>
              </w:rPr>
              <w:t>分）</w:t>
            </w:r>
          </w:p>
        </w:tc>
        <w:tc>
          <w:tcPr>
            <w:tcW w:w="2854"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1.设置人员住宿的“三小”场所是否符合分隔要求</w:t>
            </w:r>
          </w:p>
        </w:tc>
        <w:tc>
          <w:tcPr>
            <w:tcW w:w="652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1.不符合《小档口、小作坊、小娱乐场所消防安全整治技术要求》5.1、5.2条</w:t>
            </w:r>
            <w:r>
              <w:rPr>
                <w:rFonts w:hint="default" w:ascii="Times New Roman" w:hAnsi="Times New Roman"/>
                <w:color w:val="auto"/>
                <w:highlight w:val="none"/>
                <w:lang w:val="en-US" w:eastAsia="zh-CN"/>
              </w:rPr>
              <w:t>规定的</w:t>
            </w:r>
            <w:r>
              <w:rPr>
                <w:rFonts w:ascii="Times New Roman" w:hAnsi="Times New Roman"/>
                <w:color w:val="auto"/>
                <w:highlight w:val="none"/>
              </w:rPr>
              <w:t>，扣</w:t>
            </w:r>
            <w:r>
              <w:rPr>
                <w:rFonts w:hint="default" w:ascii="Times New Roman" w:hAnsi="Times New Roman"/>
                <w:color w:val="auto"/>
                <w:highlight w:val="none"/>
              </w:rPr>
              <w:t>55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restart"/>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2.安全疏散是否符合要求</w:t>
            </w:r>
          </w:p>
        </w:tc>
        <w:tc>
          <w:tcPr>
            <w:tcW w:w="652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2.安全出口设置不符合《小档口、小作坊、小娱乐场所消防安全整治技术要求》</w:t>
            </w:r>
            <w:r>
              <w:rPr>
                <w:rFonts w:hint="default" w:ascii="Times New Roman" w:hAnsi="Times New Roman"/>
                <w:color w:val="auto"/>
                <w:highlight w:val="none"/>
              </w:rPr>
              <w:t>4.6、4.7</w:t>
            </w:r>
            <w:r>
              <w:rPr>
                <w:rFonts w:hint="default" w:ascii="Times New Roman" w:hAnsi="Times New Roman"/>
                <w:color w:val="auto"/>
                <w:highlight w:val="none"/>
                <w:lang w:eastAsia="zh-CN"/>
              </w:rPr>
              <w:t>、</w:t>
            </w:r>
            <w:r>
              <w:rPr>
                <w:rFonts w:hint="default" w:ascii="Times New Roman" w:hAnsi="Times New Roman"/>
                <w:color w:val="auto"/>
                <w:highlight w:val="none"/>
                <w:lang w:val="en-US" w:eastAsia="zh-CN"/>
              </w:rPr>
              <w:t>4.9</w:t>
            </w:r>
            <w:r>
              <w:rPr>
                <w:rFonts w:hint="default" w:ascii="Times New Roman" w:hAnsi="Times New Roman"/>
                <w:color w:val="auto"/>
                <w:highlight w:val="none"/>
              </w:rPr>
              <w:t>条</w:t>
            </w:r>
            <w:r>
              <w:rPr>
                <w:rFonts w:ascii="Times New Roman" w:hAnsi="Times New Roman"/>
                <w:color w:val="auto"/>
                <w:highlight w:val="none"/>
              </w:rPr>
              <w:t>要求的，扣</w:t>
            </w:r>
            <w:r>
              <w:rPr>
                <w:rFonts w:hint="default" w:ascii="Times New Roman" w:hAnsi="Times New Roman"/>
                <w:color w:val="auto"/>
                <w:highlight w:val="none"/>
              </w:rPr>
              <w:t>25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hint="default" w:ascii="Times New Roman" w:hAnsi="Times New Roman"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continue"/>
            <w:noWrap w:val="0"/>
            <w:vAlign w:val="center"/>
          </w:tcPr>
          <w:p>
            <w:pPr>
              <w:spacing w:line="320" w:lineRule="exact"/>
              <w:jc w:val="left"/>
              <w:rPr>
                <w:rFonts w:ascii="Times New Roman" w:hAnsi="Times New Roman"/>
                <w:color w:val="auto"/>
                <w:highlight w:val="none"/>
              </w:rPr>
            </w:pPr>
          </w:p>
        </w:tc>
        <w:tc>
          <w:tcPr>
            <w:tcW w:w="652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3.楼梯间形式不符合《小档口、小作坊、小娱乐场所消防安全整治技术要求》</w:t>
            </w:r>
            <w:r>
              <w:rPr>
                <w:rFonts w:hint="default" w:ascii="Times New Roman" w:hAnsi="Times New Roman"/>
                <w:color w:val="auto"/>
                <w:highlight w:val="none"/>
              </w:rPr>
              <w:t>5.3、5.4条</w:t>
            </w:r>
            <w:r>
              <w:rPr>
                <w:rFonts w:ascii="Times New Roman" w:hAnsi="Times New Roman"/>
                <w:color w:val="auto"/>
                <w:highlight w:val="none"/>
              </w:rPr>
              <w:t>要求的，扣</w:t>
            </w:r>
            <w:r>
              <w:rPr>
                <w:rFonts w:hint="default" w:ascii="Times New Roman" w:hAnsi="Times New Roman"/>
                <w:color w:val="auto"/>
                <w:highlight w:val="none"/>
              </w:rPr>
              <w:t>25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continue"/>
            <w:noWrap w:val="0"/>
            <w:vAlign w:val="center"/>
          </w:tcPr>
          <w:p>
            <w:pPr>
              <w:spacing w:line="320" w:lineRule="exact"/>
              <w:jc w:val="left"/>
              <w:rPr>
                <w:rFonts w:ascii="Times New Roman" w:hAnsi="Times New Roman"/>
                <w:color w:val="auto"/>
                <w:highlight w:val="none"/>
              </w:rPr>
            </w:pPr>
          </w:p>
        </w:tc>
        <w:tc>
          <w:tcPr>
            <w:tcW w:w="652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4.疏散通道、安全出口存在堵塞、占用、锁闭的，扣</w:t>
            </w:r>
            <w:r>
              <w:rPr>
                <w:rFonts w:hint="default" w:ascii="Times New Roman" w:hAnsi="Times New Roman"/>
                <w:color w:val="auto"/>
                <w:highlight w:val="none"/>
              </w:rPr>
              <w:t>15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continue"/>
            <w:noWrap w:val="0"/>
            <w:vAlign w:val="center"/>
          </w:tcPr>
          <w:p>
            <w:pPr>
              <w:spacing w:line="320" w:lineRule="exact"/>
              <w:jc w:val="left"/>
              <w:rPr>
                <w:rFonts w:ascii="Times New Roman" w:hAnsi="Times New Roman"/>
                <w:color w:val="auto"/>
                <w:highlight w:val="none"/>
              </w:rPr>
            </w:pPr>
          </w:p>
        </w:tc>
        <w:tc>
          <w:tcPr>
            <w:tcW w:w="652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5.设置人员住宿的“三小”场所的外窗、阳台上的防盗网未设置</w:t>
            </w:r>
            <w:r>
              <w:rPr>
                <w:rFonts w:hint="default" w:ascii="Times New Roman" w:hAnsi="Times New Roman"/>
                <w:color w:val="auto"/>
                <w:highlight w:val="none"/>
              </w:rPr>
              <w:t>长宽净尺寸不小于1米、0.8米且向外开启的紧急逃生口</w:t>
            </w:r>
            <w:r>
              <w:rPr>
                <w:rFonts w:ascii="Times New Roman" w:hAnsi="Times New Roman"/>
                <w:color w:val="auto"/>
                <w:highlight w:val="none"/>
              </w:rPr>
              <w:t>、</w:t>
            </w:r>
            <w:r>
              <w:rPr>
                <w:rFonts w:hint="default" w:ascii="Times New Roman" w:hAnsi="Times New Roman"/>
                <w:color w:val="auto"/>
                <w:highlight w:val="none"/>
              </w:rPr>
              <w:t>二层（含二层）以上</w:t>
            </w:r>
            <w:r>
              <w:rPr>
                <w:rFonts w:ascii="Times New Roman" w:hAnsi="Times New Roman"/>
                <w:color w:val="auto"/>
                <w:highlight w:val="none"/>
              </w:rPr>
              <w:t>紧急逃生口未设置逃生缓降器、消防逃生梯或辅助爬梯等辅助疏散逃生设施的扣</w:t>
            </w:r>
            <w:r>
              <w:rPr>
                <w:rFonts w:hint="default" w:ascii="Times New Roman" w:hAnsi="Times New Roman"/>
                <w:color w:val="auto"/>
                <w:highlight w:val="none"/>
              </w:rPr>
              <w:t>10</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3.电动车消防安全管理</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6.</w:t>
            </w:r>
            <w:r>
              <w:rPr>
                <w:rFonts w:hint="default" w:ascii="Times New Roman" w:hAnsi="Times New Roman"/>
                <w:color w:val="auto"/>
                <w:highlight w:val="none"/>
              </w:rPr>
              <w:t>场所内部公共区域、疏散走道和疏散楼梯间存在电动自行车违规停放或充电的，扣20分。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1"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消防设施和灭火器材</w:t>
            </w:r>
          </w:p>
          <w:p>
            <w:pPr>
              <w:jc w:val="center"/>
              <w:rPr>
                <w:rFonts w:ascii="Times New Roman" w:hAnsi="Times New Roman"/>
                <w:b/>
                <w:color w:val="auto"/>
                <w:kern w:val="0"/>
                <w:sz w:val="24"/>
                <w:highlight w:val="none"/>
              </w:rPr>
            </w:pPr>
            <w:r>
              <w:rPr>
                <w:rFonts w:ascii="Times New Roman" w:hAnsi="Times New Roman"/>
                <w:b/>
                <w:color w:val="auto"/>
                <w:kern w:val="0"/>
                <w:sz w:val="24"/>
                <w:highlight w:val="none"/>
              </w:rPr>
              <w:t>（2</w:t>
            </w:r>
            <w:r>
              <w:rPr>
                <w:rFonts w:hint="default" w:ascii="Times New Roman" w:hAnsi="Times New Roman"/>
                <w:b/>
                <w:color w:val="auto"/>
                <w:kern w:val="0"/>
                <w:sz w:val="24"/>
                <w:highlight w:val="none"/>
              </w:rPr>
              <w:t>0</w:t>
            </w:r>
            <w:r>
              <w:rPr>
                <w:rFonts w:ascii="Times New Roman" w:hAnsi="Times New Roman"/>
                <w:b/>
                <w:color w:val="auto"/>
                <w:kern w:val="0"/>
                <w:sz w:val="24"/>
                <w:highlight w:val="none"/>
              </w:rPr>
              <w:t>分）</w:t>
            </w: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4</w:t>
            </w:r>
            <w:r>
              <w:rPr>
                <w:rFonts w:hint="default" w:ascii="Times New Roman" w:hAnsi="Times New Roman"/>
                <w:color w:val="auto"/>
                <w:highlight w:val="none"/>
              </w:rPr>
              <w:t>.是否按要求设置消防应急照明</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7</w:t>
            </w:r>
            <w:r>
              <w:rPr>
                <w:rFonts w:ascii="Times New Roman" w:hAnsi="Times New Roman"/>
                <w:color w:val="auto"/>
                <w:highlight w:val="none"/>
              </w:rPr>
              <w:t>.场所内未配置消防应急照明，或消防应急照明灯安装不符合要求的，扣</w:t>
            </w:r>
            <w:r>
              <w:rPr>
                <w:rFonts w:hint="default" w:ascii="Times New Roman" w:hAnsi="Times New Roman"/>
                <w:color w:val="auto"/>
                <w:highlight w:val="none"/>
              </w:rPr>
              <w:t>10</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5</w:t>
            </w:r>
            <w:r>
              <w:rPr>
                <w:rFonts w:ascii="Times New Roman" w:hAnsi="Times New Roman"/>
                <w:color w:val="auto"/>
                <w:highlight w:val="none"/>
              </w:rPr>
              <w:t>.是否按要求设置独立式感烟火灾探测报警器</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8</w:t>
            </w:r>
            <w:r>
              <w:rPr>
                <w:rFonts w:ascii="Times New Roman" w:hAnsi="Times New Roman"/>
                <w:color w:val="auto"/>
                <w:highlight w:val="none"/>
              </w:rPr>
              <w:t>.设置值班室、住宿场所以及建筑面积超过20m</w:t>
            </w:r>
            <w:r>
              <w:rPr>
                <w:rFonts w:ascii="Times New Roman" w:hAnsi="Times New Roman"/>
                <w:color w:val="auto"/>
                <w:sz w:val="20"/>
                <w:highlight w:val="none"/>
              </w:rPr>
              <w:t>²</w:t>
            </w:r>
            <w:r>
              <w:rPr>
                <w:rFonts w:ascii="Times New Roman" w:hAnsi="Times New Roman"/>
                <w:color w:val="auto"/>
                <w:highlight w:val="none"/>
              </w:rPr>
              <w:t>的“三小”场所未设置独立式感烟火灾探测报警器的，</w:t>
            </w:r>
            <w:r>
              <w:rPr>
                <w:rFonts w:ascii="Times New Roman" w:hAnsi="Times New Roman"/>
                <w:color w:val="auto"/>
                <w:sz w:val="20"/>
                <w:szCs w:val="20"/>
                <w:highlight w:val="none"/>
              </w:rPr>
              <w:t>或</w:t>
            </w:r>
            <w:r>
              <w:rPr>
                <w:rFonts w:ascii="Times New Roman" w:hAnsi="Times New Roman"/>
                <w:color w:val="auto"/>
                <w:highlight w:val="none"/>
              </w:rPr>
              <w:t>独立式感烟火灾探测报警器</w:t>
            </w:r>
            <w:r>
              <w:rPr>
                <w:rFonts w:ascii="Times New Roman" w:hAnsi="Times New Roman"/>
                <w:color w:val="auto"/>
                <w:sz w:val="20"/>
                <w:szCs w:val="20"/>
                <w:highlight w:val="none"/>
              </w:rPr>
              <w:t>安装不符合要求、不能正常工作的，</w:t>
            </w:r>
            <w:r>
              <w:rPr>
                <w:rFonts w:ascii="Times New Roman" w:hAnsi="Times New Roman"/>
                <w:color w:val="auto"/>
                <w:highlight w:val="none"/>
              </w:rPr>
              <w:t>扣</w:t>
            </w:r>
            <w:r>
              <w:rPr>
                <w:rFonts w:hint="default" w:ascii="Times New Roman" w:hAnsi="Times New Roman"/>
                <w:color w:val="auto"/>
                <w:highlight w:val="none"/>
              </w:rPr>
              <w:t>10</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hint="default" w:ascii="Times New Roman" w:hAnsi="Times New Roman" w:eastAsia="宋体"/>
                <w:color w:val="auto"/>
                <w:highlight w:val="none"/>
                <w:lang w:eastAsia="zh-CN"/>
              </w:rPr>
            </w:pPr>
            <w:r>
              <w:rPr>
                <w:rFonts w:hint="default" w:ascii="Times New Roman" w:hAnsi="Times New Roman"/>
                <w:color w:val="auto"/>
                <w:highlight w:val="none"/>
                <w:lang w:eastAsia="zh-CN"/>
              </w:rPr>
              <w:t>场所全部安装联网式无线火灾报警器的，此项加</w:t>
            </w:r>
            <w:r>
              <w:rPr>
                <w:rFonts w:hint="default" w:ascii="Times New Roman" w:hAnsi="Times New Roman"/>
                <w:color w:val="auto"/>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6</w:t>
            </w:r>
            <w:r>
              <w:rPr>
                <w:rFonts w:ascii="Times New Roman" w:hAnsi="Times New Roman"/>
                <w:color w:val="auto"/>
                <w:highlight w:val="none"/>
              </w:rPr>
              <w:t>.是否按要求配置灭火器</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9</w:t>
            </w:r>
            <w:r>
              <w:rPr>
                <w:rFonts w:ascii="Times New Roman" w:hAnsi="Times New Roman"/>
                <w:color w:val="auto"/>
                <w:highlight w:val="none"/>
              </w:rPr>
              <w:t>.</w:t>
            </w:r>
            <w:r>
              <w:rPr>
                <w:rFonts w:hint="default" w:ascii="Times New Roman" w:hAnsi="Times New Roman"/>
                <w:color w:val="auto"/>
                <w:highlight w:val="none"/>
              </w:rPr>
              <w:t>未按每75m2配备不少于2具MFABC4型手提式干粉灭火器的，扣10分。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7</w:t>
            </w:r>
            <w:r>
              <w:rPr>
                <w:rFonts w:hint="default" w:ascii="Times New Roman" w:hAnsi="Times New Roman"/>
                <w:color w:val="auto"/>
                <w:highlight w:val="none"/>
              </w:rPr>
              <w:t>.是否按要求设备其它消防设施</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10</w:t>
            </w:r>
            <w:r>
              <w:rPr>
                <w:rFonts w:ascii="Times New Roman" w:hAnsi="Times New Roman"/>
                <w:color w:val="auto"/>
                <w:highlight w:val="none"/>
              </w:rPr>
              <w:t>.未按《小档口、小作坊、小娱乐场所消防安全整治技术要求》第6.5、6.6条要求设置</w:t>
            </w:r>
            <w:r>
              <w:rPr>
                <w:rFonts w:hint="default" w:ascii="Times New Roman" w:hAnsi="Times New Roman"/>
                <w:color w:val="auto"/>
                <w:highlight w:val="none"/>
              </w:rPr>
              <w:t>简易喷淋和消防卷盘、轻便消防水龙</w:t>
            </w:r>
            <w:r>
              <w:rPr>
                <w:rFonts w:ascii="Times New Roman" w:hAnsi="Times New Roman"/>
                <w:color w:val="auto"/>
                <w:highlight w:val="none"/>
              </w:rPr>
              <w:t>的，扣</w:t>
            </w:r>
            <w:r>
              <w:rPr>
                <w:rFonts w:hint="default" w:ascii="Times New Roman" w:hAnsi="Times New Roman"/>
                <w:color w:val="auto"/>
                <w:highlight w:val="none"/>
              </w:rPr>
              <w:t>10</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8</w:t>
            </w:r>
            <w:r>
              <w:rPr>
                <w:rFonts w:ascii="Times New Roman" w:hAnsi="Times New Roman"/>
                <w:color w:val="auto"/>
                <w:highlight w:val="none"/>
              </w:rPr>
              <w:t>.消防设施和灭火器材是否完好有效</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1</w:t>
            </w:r>
            <w:r>
              <w:rPr>
                <w:rFonts w:hint="default" w:ascii="Times New Roman" w:hAnsi="Times New Roman"/>
                <w:color w:val="auto"/>
                <w:highlight w:val="none"/>
              </w:rPr>
              <w:t>.上述6、7、8、9项所列出的消防设施</w:t>
            </w:r>
            <w:r>
              <w:rPr>
                <w:rFonts w:ascii="Times New Roman" w:hAnsi="Times New Roman"/>
                <w:color w:val="auto"/>
                <w:highlight w:val="none"/>
              </w:rPr>
              <w:t>和灭火器材无法正常运作或使用的，</w:t>
            </w:r>
            <w:r>
              <w:rPr>
                <w:rFonts w:hint="default" w:ascii="Times New Roman" w:hAnsi="Times New Roman"/>
                <w:color w:val="auto"/>
                <w:highlight w:val="none"/>
              </w:rPr>
              <w:t>每发现一项</w:t>
            </w:r>
            <w:r>
              <w:rPr>
                <w:rFonts w:ascii="Times New Roman" w:hAnsi="Times New Roman"/>
                <w:color w:val="auto"/>
                <w:highlight w:val="none"/>
              </w:rPr>
              <w:t>扣5分。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测试设施器材</w:t>
            </w:r>
          </w:p>
        </w:tc>
        <w:tc>
          <w:tcPr>
            <w:tcW w:w="141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多配的不在检查范围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01"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火灾危险源控制</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10</w:t>
            </w:r>
            <w:r>
              <w:rPr>
                <w:rFonts w:ascii="Times New Roman" w:hAnsi="Times New Roman"/>
                <w:b/>
                <w:color w:val="auto"/>
                <w:kern w:val="0"/>
                <w:sz w:val="24"/>
                <w:highlight w:val="none"/>
              </w:rPr>
              <w:t>分)</w:t>
            </w:r>
          </w:p>
        </w:tc>
        <w:tc>
          <w:tcPr>
            <w:tcW w:w="2854"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9</w:t>
            </w:r>
            <w:r>
              <w:rPr>
                <w:rFonts w:ascii="Times New Roman" w:hAnsi="Times New Roman"/>
                <w:color w:val="auto"/>
                <w:highlight w:val="none"/>
              </w:rPr>
              <w:t>.是否存放使用火灾危险性为甲、乙类物品及火灾危险性为丙类的液体</w:t>
            </w: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2.</w:t>
            </w:r>
            <w:r>
              <w:rPr>
                <w:rFonts w:hint="default" w:ascii="Times New Roman" w:hAnsi="Times New Roman"/>
                <w:color w:val="auto"/>
                <w:highlight w:val="none"/>
              </w:rPr>
              <w:t>小作坊在生产工艺流程中确需存放、使用火灾危险性为甲、乙类物品及火灾危险性为丙类的液体，存在下列情形之一的，扣10分：</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a违规设置在民用建筑内；</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b火灾危险性为丙类的小作坊，甲、乙类火灾危险性的生产部分占建筑面积比例大于5%；</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c未设置中间仓库或中间仓库未靠外墙布置的；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d设置的中间仓库其储量超过1昼夜的需要量；</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e设置的甲、乙、丙类中间仓库未采用防火墙和耐火极限不低于1.50h的不燃烧楼板与其他部位分隔的。</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continue"/>
            <w:noWrap w:val="0"/>
            <w:vAlign w:val="center"/>
          </w:tcPr>
          <w:p>
            <w:pPr>
              <w:spacing w:line="320" w:lineRule="exact"/>
              <w:jc w:val="left"/>
              <w:rPr>
                <w:rFonts w:hint="default" w:ascii="Times New Roman" w:hAnsi="Times New Roman"/>
                <w:color w:val="auto"/>
                <w:highlight w:val="none"/>
              </w:rPr>
            </w:pP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3.</w:t>
            </w:r>
            <w:r>
              <w:rPr>
                <w:rFonts w:hint="default" w:ascii="Times New Roman" w:hAnsi="Times New Roman"/>
                <w:color w:val="auto"/>
                <w:highlight w:val="none"/>
              </w:rPr>
              <w:t>属于人员密集场所的“三小”场所确需使用易燃易爆化学物品，存储量超过一天的使用量或未落实专人管理、登记的，扣10分。</w:t>
            </w:r>
          </w:p>
        </w:tc>
        <w:tc>
          <w:tcPr>
            <w:tcW w:w="1635" w:type="dxa"/>
            <w:noWrap w:val="0"/>
            <w:vAlign w:val="center"/>
          </w:tcPr>
          <w:p>
            <w:pPr>
              <w:spacing w:line="320" w:lineRule="exact"/>
              <w:jc w:val="left"/>
              <w:rPr>
                <w:rFonts w:ascii="Times New Roman" w:hAnsi="Times New Roman"/>
                <w:color w:val="auto"/>
                <w:highlight w:val="none"/>
              </w:rPr>
            </w:pP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continue"/>
            <w:noWrap w:val="0"/>
            <w:vAlign w:val="center"/>
          </w:tcPr>
          <w:p>
            <w:pPr>
              <w:spacing w:line="320" w:lineRule="exact"/>
              <w:jc w:val="left"/>
              <w:rPr>
                <w:rFonts w:ascii="Times New Roman" w:hAnsi="Times New Roman"/>
                <w:color w:val="auto"/>
                <w:highlight w:val="none"/>
              </w:rPr>
            </w:pPr>
          </w:p>
        </w:tc>
        <w:tc>
          <w:tcPr>
            <w:tcW w:w="652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4.</w:t>
            </w:r>
            <w:r>
              <w:rPr>
                <w:rFonts w:hint="default" w:ascii="Times New Roman" w:hAnsi="Times New Roman"/>
                <w:color w:val="auto"/>
                <w:highlight w:val="none"/>
              </w:rPr>
              <w:t>除餐饮经营性场所外，</w:t>
            </w:r>
            <w:r>
              <w:rPr>
                <w:rFonts w:ascii="Times New Roman" w:hAnsi="Times New Roman"/>
                <w:color w:val="auto"/>
                <w:highlight w:val="none"/>
              </w:rPr>
              <w:t>厨房、浴室存放装载量超过相当于2个15kg的液化石油气瓶，扣</w:t>
            </w:r>
            <w:r>
              <w:rPr>
                <w:rFonts w:hint="default" w:ascii="Times New Roman" w:hAnsi="Times New Roman"/>
                <w:color w:val="auto"/>
                <w:highlight w:val="none"/>
              </w:rPr>
              <w:t>10分</w:t>
            </w:r>
            <w:r>
              <w:rPr>
                <w:rFonts w:ascii="Times New Roman" w:hAnsi="Times New Roman"/>
                <w:color w:val="auto"/>
                <w:highlight w:val="none"/>
              </w:rPr>
              <w:t>。</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continue"/>
            <w:noWrap w:val="0"/>
            <w:vAlign w:val="center"/>
          </w:tcPr>
          <w:p>
            <w:pPr>
              <w:spacing w:line="320" w:lineRule="exact"/>
              <w:jc w:val="left"/>
              <w:rPr>
                <w:rFonts w:ascii="Times New Roman" w:hAnsi="Times New Roman"/>
                <w:color w:val="auto"/>
                <w:highlight w:val="none"/>
              </w:rPr>
            </w:pP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5</w:t>
            </w:r>
            <w:r>
              <w:rPr>
                <w:rFonts w:hint="default" w:ascii="Times New Roman" w:hAnsi="Times New Roman"/>
                <w:color w:val="auto"/>
                <w:highlight w:val="none"/>
              </w:rPr>
              <w:t>.餐饮经营性场所存储液化石油气超过30</w:t>
            </w:r>
            <w:r>
              <w:rPr>
                <w:rFonts w:ascii="Times New Roman" w:hAnsi="Times New Roman"/>
                <w:color w:val="auto"/>
                <w:highlight w:val="none"/>
              </w:rPr>
              <w:t>kg</w:t>
            </w:r>
            <w:r>
              <w:rPr>
                <w:rFonts w:hint="default" w:ascii="Times New Roman" w:hAnsi="Times New Roman"/>
                <w:color w:val="auto"/>
                <w:highlight w:val="none"/>
              </w:rPr>
              <w:t>，应符合《城镇燃气设计规范》标准要求，设置储瓶间，未设置的，扣10分。</w:t>
            </w:r>
          </w:p>
        </w:tc>
        <w:tc>
          <w:tcPr>
            <w:tcW w:w="1635" w:type="dxa"/>
            <w:noWrap w:val="0"/>
            <w:vAlign w:val="center"/>
          </w:tcPr>
          <w:p>
            <w:pPr>
              <w:spacing w:line="320" w:lineRule="exact"/>
              <w:jc w:val="left"/>
              <w:rPr>
                <w:rFonts w:ascii="Times New Roman" w:hAnsi="Times New Roman"/>
                <w:color w:val="auto"/>
                <w:highlight w:val="none"/>
              </w:rPr>
            </w:pP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10</w:t>
            </w:r>
            <w:r>
              <w:rPr>
                <w:rFonts w:hint="default" w:ascii="Times New Roman" w:hAnsi="Times New Roman"/>
                <w:color w:val="auto"/>
                <w:highlight w:val="none"/>
              </w:rPr>
              <w:t>.是否采用木质材料搭建阁楼</w:t>
            </w: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16.</w:t>
            </w:r>
            <w:r>
              <w:rPr>
                <w:rFonts w:hint="default" w:ascii="Times New Roman" w:hAnsi="Times New Roman"/>
                <w:color w:val="auto"/>
                <w:highlight w:val="none"/>
              </w:rPr>
              <w:t>内部采用木质材料搭建阁楼的，扣10分。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1</w:t>
            </w:r>
            <w:r>
              <w:rPr>
                <w:rFonts w:hint="default" w:ascii="Times New Roman" w:hAnsi="Times New Roman"/>
                <w:color w:val="auto"/>
                <w:highlight w:val="none"/>
              </w:rPr>
              <w:t>.是否使用彩钢板、聚氨酯泡沫等易燃材料</w:t>
            </w: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17</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内部使用彩钢板、聚氨酯泡沫等易燃材料</w:t>
            </w:r>
            <w:r>
              <w:rPr>
                <w:rFonts w:hint="default" w:ascii="Times New Roman" w:hAnsi="Times New Roman" w:eastAsia="宋体" w:cs="Times New Roman"/>
                <w:color w:val="auto"/>
                <w:sz w:val="21"/>
                <w:szCs w:val="22"/>
                <w:highlight w:val="none"/>
              </w:rPr>
              <w:t>作为顶棚、隔断或内部装饰装修材料</w:t>
            </w:r>
            <w:r>
              <w:rPr>
                <w:rFonts w:hint="default" w:ascii="Times New Roman" w:hAnsi="Times New Roman" w:eastAsia="宋体" w:cs="Times New Roman"/>
                <w:color w:val="auto"/>
                <w:highlight w:val="none"/>
              </w:rPr>
              <w:t>的</w:t>
            </w:r>
            <w:r>
              <w:rPr>
                <w:rFonts w:hint="default" w:ascii="Times New Roman" w:hAnsi="Times New Roman"/>
                <w:color w:val="auto"/>
                <w:highlight w:val="none"/>
              </w:rPr>
              <w:t>，扣10分。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12</w:t>
            </w:r>
            <w:r>
              <w:rPr>
                <w:rFonts w:ascii="Times New Roman" w:hAnsi="Times New Roman"/>
                <w:color w:val="auto"/>
                <w:highlight w:val="none"/>
              </w:rPr>
              <w:t>.电气线路</w:t>
            </w:r>
            <w:r>
              <w:rPr>
                <w:rFonts w:hint="default" w:ascii="Times New Roman" w:hAnsi="Times New Roman"/>
                <w:color w:val="auto"/>
                <w:highlight w:val="none"/>
              </w:rPr>
              <w:t>私拉乱接、电气设备使用</w:t>
            </w:r>
            <w:r>
              <w:rPr>
                <w:rFonts w:ascii="Times New Roman" w:hAnsi="Times New Roman"/>
                <w:color w:val="auto"/>
                <w:highlight w:val="none"/>
              </w:rPr>
              <w:t>是否符合要求</w:t>
            </w:r>
          </w:p>
        </w:tc>
        <w:tc>
          <w:tcPr>
            <w:tcW w:w="6521" w:type="dxa"/>
            <w:noWrap w:val="0"/>
            <w:vAlign w:val="center"/>
          </w:tcPr>
          <w:p>
            <w:pPr>
              <w:spacing w:line="320" w:lineRule="exact"/>
              <w:jc w:val="left"/>
              <w:rPr>
                <w:rFonts w:hint="default"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8.</w:t>
            </w:r>
            <w:r>
              <w:rPr>
                <w:rFonts w:hint="default" w:ascii="Times New Roman" w:hAnsi="Times New Roman"/>
                <w:color w:val="auto"/>
                <w:highlight w:val="none"/>
              </w:rPr>
              <w:t>电气线路私拉乱接、电气设备使用不规范，存在以下情形之一的，扣10分:</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a电器设备超负荷使用、线排串联；</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b用铜丝、铁丝等代替保险丝；</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c电热炉、电加热器、电暖器、电饭锅、电熨斗、电热毯等电热器具使用后未采取拔出电源插销等切断电源的措施；</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d对产生高温或使用明火的设备，未限制周围可燃物或使用期间未设专人监护；</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e未安装防火型漏电开关或新型防短路、防过载、防电弧断路保护开关并选用合格电气产品的；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f供、用电线路未根据国家电气技术标准，采取穿金属管、封闭式金属线槽或者绝缘阻燃PVC电工套管保护措施的；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g强电线路未按规定使用阻燃电缆或电气线路违规使用易燃电线电缆的；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h开关、电闸、配电箱未使用符合国家市场准入电气产品的。</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01" w:type="dxa"/>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日常消防</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管理（</w:t>
            </w:r>
            <w:r>
              <w:rPr>
                <w:rFonts w:hint="default" w:ascii="Times New Roman" w:hAnsi="Times New Roman"/>
                <w:b/>
                <w:color w:val="auto"/>
                <w:kern w:val="0"/>
                <w:sz w:val="24"/>
                <w:highlight w:val="none"/>
              </w:rPr>
              <w:t>5</w:t>
            </w:r>
            <w:r>
              <w:rPr>
                <w:rFonts w:ascii="Times New Roman" w:hAnsi="Times New Roman"/>
                <w:b/>
                <w:color w:val="auto"/>
                <w:kern w:val="0"/>
                <w:sz w:val="24"/>
                <w:highlight w:val="none"/>
              </w:rPr>
              <w:t>分）</w:t>
            </w: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3</w:t>
            </w:r>
            <w:r>
              <w:rPr>
                <w:rFonts w:ascii="Times New Roman" w:hAnsi="Times New Roman"/>
                <w:color w:val="auto"/>
                <w:highlight w:val="none"/>
              </w:rPr>
              <w:t>.是否签订消防安全承诺书</w:t>
            </w:r>
          </w:p>
        </w:tc>
        <w:tc>
          <w:tcPr>
            <w:tcW w:w="652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9.</w:t>
            </w:r>
            <w:r>
              <w:rPr>
                <w:rFonts w:ascii="Times New Roman" w:hAnsi="Times New Roman"/>
                <w:color w:val="auto"/>
                <w:highlight w:val="none"/>
              </w:rPr>
              <w:t>未签订消防安全承诺书的，扣</w:t>
            </w:r>
            <w:r>
              <w:rPr>
                <w:rFonts w:hint="default" w:ascii="Times New Roman" w:hAnsi="Times New Roman"/>
                <w:color w:val="auto"/>
                <w:highlight w:val="none"/>
              </w:rPr>
              <w:t>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查看资料</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1"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消防宣传</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教育培训</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10</w:t>
            </w:r>
            <w:r>
              <w:rPr>
                <w:rFonts w:ascii="Times New Roman" w:hAnsi="Times New Roman"/>
                <w:b/>
                <w:color w:val="auto"/>
                <w:kern w:val="0"/>
                <w:sz w:val="24"/>
                <w:highlight w:val="none"/>
              </w:rPr>
              <w:t>分)</w:t>
            </w: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4</w:t>
            </w:r>
            <w:r>
              <w:rPr>
                <w:rFonts w:ascii="Times New Roman" w:hAnsi="Times New Roman"/>
                <w:color w:val="auto"/>
                <w:highlight w:val="none"/>
              </w:rPr>
              <w:t>.员工是否懂得报火警</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20.</w:t>
            </w:r>
            <w:r>
              <w:rPr>
                <w:rFonts w:hint="default" w:ascii="Times New Roman" w:hAnsi="Times New Roman"/>
                <w:color w:val="auto"/>
                <w:highlight w:val="none"/>
              </w:rPr>
              <w:t>员工不熟悉报火警基本内容和要求的</w:t>
            </w:r>
            <w:r>
              <w:rPr>
                <w:rFonts w:ascii="Times New Roman" w:hAnsi="Times New Roman"/>
                <w:color w:val="auto"/>
                <w:highlight w:val="none"/>
              </w:rPr>
              <w:t>，扣</w:t>
            </w:r>
            <w:r>
              <w:rPr>
                <w:rFonts w:hint="default" w:ascii="Times New Roman" w:hAnsi="Times New Roman"/>
                <w:color w:val="auto"/>
                <w:highlight w:val="none"/>
              </w:rPr>
              <w:t>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随机提问至少1名员工</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spacing w:line="300" w:lineRule="exact"/>
              <w:ind w:right="-107"/>
              <w:rPr>
                <w:rFonts w:ascii="Times New Roman" w:hAnsi="Times New Roman" w:eastAsia="仿宋_GB2312"/>
                <w:bCs/>
                <w:color w:val="auto"/>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5</w:t>
            </w:r>
            <w:r>
              <w:rPr>
                <w:rFonts w:ascii="Times New Roman" w:hAnsi="Times New Roman"/>
                <w:color w:val="auto"/>
                <w:highlight w:val="none"/>
              </w:rPr>
              <w:t>.员工是否掌握本场所灭火器材使用方法</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21</w:t>
            </w:r>
            <w:r>
              <w:rPr>
                <w:rFonts w:ascii="Times New Roman" w:hAnsi="Times New Roman"/>
                <w:color w:val="auto"/>
                <w:highlight w:val="none"/>
              </w:rPr>
              <w:t>.员工不懂得使用场所内灭火器材的，扣</w:t>
            </w:r>
            <w:r>
              <w:rPr>
                <w:rFonts w:hint="default" w:ascii="Times New Roman" w:hAnsi="Times New Roman"/>
                <w:color w:val="auto"/>
                <w:highlight w:val="none"/>
              </w:rPr>
              <w:t>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随机让至少1名员工操作</w:t>
            </w:r>
          </w:p>
        </w:tc>
        <w:tc>
          <w:tcPr>
            <w:tcW w:w="1410"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401" w:type="dxa"/>
            <w:vMerge w:val="continue"/>
            <w:noWrap w:val="0"/>
            <w:vAlign w:val="center"/>
          </w:tcPr>
          <w:p>
            <w:pPr>
              <w:spacing w:line="300" w:lineRule="exact"/>
              <w:ind w:right="-107"/>
              <w:rPr>
                <w:rFonts w:ascii="Times New Roman" w:hAnsi="Times New Roman" w:eastAsia="仿宋_GB2312"/>
                <w:bCs/>
                <w:color w:val="auto"/>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6</w:t>
            </w:r>
            <w:r>
              <w:rPr>
                <w:rFonts w:ascii="Times New Roman" w:hAnsi="Times New Roman"/>
                <w:color w:val="auto"/>
                <w:highlight w:val="none"/>
              </w:rPr>
              <w:t>.员工掌握火场逃生自救基本技能，熟悉逃生路线和引导人员疏散程序</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22</w:t>
            </w:r>
            <w:r>
              <w:rPr>
                <w:rFonts w:ascii="Times New Roman" w:hAnsi="Times New Roman"/>
                <w:color w:val="auto"/>
                <w:highlight w:val="none"/>
              </w:rPr>
              <w:t>.员工不掌握逃生自救、疏散技能的，扣</w:t>
            </w:r>
            <w:r>
              <w:rPr>
                <w:rFonts w:hint="default" w:ascii="Times New Roman" w:hAnsi="Times New Roman"/>
                <w:color w:val="auto"/>
                <w:highlight w:val="none"/>
              </w:rPr>
              <w:t>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随机提问至少1名员工</w:t>
            </w:r>
          </w:p>
        </w:tc>
        <w:tc>
          <w:tcPr>
            <w:tcW w:w="1410" w:type="dxa"/>
            <w:noWrap w:val="0"/>
            <w:vAlign w:val="center"/>
          </w:tcPr>
          <w:p>
            <w:pPr>
              <w:spacing w:line="320" w:lineRule="exact"/>
              <w:jc w:val="left"/>
              <w:rPr>
                <w:rFonts w:ascii="Times New Roman" w:hAnsi="Times New Roman"/>
                <w:color w:val="auto"/>
                <w:highlight w:val="none"/>
              </w:rPr>
            </w:pPr>
          </w:p>
        </w:tc>
      </w:tr>
    </w:tbl>
    <w:p>
      <w:pPr>
        <w:pStyle w:val="8"/>
        <w:jc w:val="center"/>
        <w:rPr>
          <w:rFonts w:hint="default" w:ascii="Times New Roman" w:hAnsi="Times New Roman"/>
          <w:color w:val="auto"/>
          <w:highlight w:val="none"/>
        </w:rPr>
      </w:pPr>
    </w:p>
    <w:p>
      <w:pPr>
        <w:rPr>
          <w:rFonts w:hint="default" w:ascii="Times New Roman" w:hAnsi="Times New Roman"/>
          <w:color w:val="auto"/>
          <w:highlight w:val="none"/>
        </w:rPr>
      </w:pPr>
    </w:p>
    <w:p>
      <w:pPr>
        <w:rPr>
          <w:rFonts w:hint="default" w:ascii="Times New Roman" w:hAnsi="Times New Roman"/>
          <w:color w:val="auto"/>
          <w:highlight w:val="none"/>
        </w:rPr>
      </w:pPr>
    </w:p>
    <w:p>
      <w:pPr>
        <w:rPr>
          <w:rFonts w:hint="default" w:ascii="Times New Roman" w:hAnsi="Times New Roman"/>
          <w:color w:val="auto"/>
          <w:highlight w:val="none"/>
        </w:rPr>
      </w:pPr>
    </w:p>
    <w:p>
      <w:pPr>
        <w:pStyle w:val="23"/>
        <w:rPr>
          <w:rFonts w:hint="default"/>
          <w:color w:val="000000"/>
          <w:highlight w:val="none"/>
        </w:rPr>
      </w:pPr>
    </w:p>
    <w:p>
      <w:pPr>
        <w:pStyle w:val="8"/>
        <w:jc w:val="center"/>
        <w:rPr>
          <w:rFonts w:ascii="Times New Roman" w:hAnsi="Times New Roman"/>
          <w:color w:val="auto"/>
          <w:highlight w:val="none"/>
        </w:rPr>
      </w:pPr>
      <w:r>
        <w:rPr>
          <w:rFonts w:ascii="Times New Roman" w:hAnsi="Times New Roman"/>
          <w:color w:val="auto"/>
          <w:highlight w:val="none"/>
        </w:rPr>
        <w:t>（</w:t>
      </w:r>
      <w:r>
        <w:rPr>
          <w:rFonts w:hint="default" w:ascii="Times New Roman" w:hAnsi="Times New Roman"/>
          <w:color w:val="auto"/>
          <w:highlight w:val="none"/>
        </w:rPr>
        <w:t>二</w:t>
      </w:r>
      <w:r>
        <w:rPr>
          <w:rFonts w:ascii="Times New Roman" w:hAnsi="Times New Roman"/>
          <w:color w:val="auto"/>
          <w:highlight w:val="none"/>
        </w:rPr>
        <w:t>）</w:t>
      </w:r>
      <w:r>
        <w:rPr>
          <w:rFonts w:hint="default" w:ascii="Times New Roman" w:hAnsi="Times New Roman"/>
          <w:color w:val="auto"/>
          <w:highlight w:val="none"/>
        </w:rPr>
        <w:t>出租屋</w:t>
      </w:r>
      <w:r>
        <w:rPr>
          <w:rFonts w:ascii="Times New Roman" w:hAnsi="Times New Roman"/>
          <w:color w:val="auto"/>
          <w:highlight w:val="none"/>
        </w:rPr>
        <w:t>消防安全评估细则（100分）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2854"/>
        <w:gridCol w:w="6521"/>
        <w:gridCol w:w="163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1401"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检查项目</w:t>
            </w:r>
          </w:p>
        </w:tc>
        <w:tc>
          <w:tcPr>
            <w:tcW w:w="2854"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检查内容</w:t>
            </w:r>
          </w:p>
        </w:tc>
        <w:tc>
          <w:tcPr>
            <w:tcW w:w="6521"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检查标准</w:t>
            </w:r>
          </w:p>
        </w:tc>
        <w:tc>
          <w:tcPr>
            <w:tcW w:w="1635"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检查方法</w:t>
            </w:r>
          </w:p>
        </w:tc>
        <w:tc>
          <w:tcPr>
            <w:tcW w:w="1561"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restart"/>
            <w:noWrap w:val="0"/>
            <w:vAlign w:val="center"/>
          </w:tcPr>
          <w:p>
            <w:pPr>
              <w:jc w:val="center"/>
              <w:rPr>
                <w:rFonts w:hint="default" w:ascii="Times New Roman" w:hAnsi="Times New Roman"/>
                <w:b/>
                <w:bCs/>
                <w:color w:val="auto"/>
                <w:sz w:val="24"/>
                <w:szCs w:val="24"/>
                <w:highlight w:val="none"/>
              </w:rPr>
            </w:pPr>
            <w:r>
              <w:rPr>
                <w:rFonts w:hint="default" w:ascii="Times New Roman" w:hAnsi="Times New Roman"/>
                <w:b/>
                <w:bCs/>
                <w:color w:val="auto"/>
                <w:sz w:val="24"/>
                <w:szCs w:val="24"/>
                <w:highlight w:val="none"/>
              </w:rPr>
              <w:t>平面布置</w:t>
            </w:r>
          </w:p>
          <w:p>
            <w:pPr>
              <w:jc w:val="center"/>
              <w:rPr>
                <w:rFonts w:ascii="Times New Roman" w:hAnsi="Times New Roman"/>
                <w:b/>
                <w:color w:val="auto"/>
                <w:kern w:val="0"/>
                <w:sz w:val="24"/>
                <w:highlight w:val="none"/>
              </w:rPr>
            </w:pPr>
            <w:r>
              <w:rPr>
                <w:rFonts w:hint="default" w:ascii="Times New Roman" w:hAnsi="Times New Roman"/>
                <w:b/>
                <w:bCs/>
                <w:color w:val="auto"/>
                <w:sz w:val="24"/>
                <w:szCs w:val="24"/>
                <w:highlight w:val="none"/>
              </w:rPr>
              <w:t>（10分）</w:t>
            </w: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1.平面布置</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1.出租屋与生产、储存、经营易燃易爆危险品的场所设置在同一建筑物内的，扣100分。</w:t>
            </w:r>
          </w:p>
        </w:tc>
        <w:tc>
          <w:tcPr>
            <w:tcW w:w="1635"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b/>
                <w:bCs/>
                <w:color w:val="auto"/>
                <w:sz w:val="24"/>
                <w:szCs w:val="24"/>
                <w:highlight w:val="none"/>
              </w:rPr>
              <w:t>直接否决项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continue"/>
            <w:noWrap w:val="0"/>
            <w:vAlign w:val="center"/>
          </w:tcPr>
          <w:p>
            <w:pPr>
              <w:jc w:val="center"/>
              <w:rPr>
                <w:rFonts w:hint="default" w:ascii="Times New Roman" w:hAnsi="Times New Roman"/>
                <w:b/>
                <w:bCs/>
                <w:color w:val="auto"/>
                <w:sz w:val="24"/>
                <w:szCs w:val="24"/>
                <w:highlight w:val="none"/>
              </w:rPr>
            </w:pPr>
          </w:p>
        </w:tc>
        <w:tc>
          <w:tcPr>
            <w:tcW w:w="2854" w:type="dxa"/>
            <w:vMerge w:val="restart"/>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2.防火间距</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 xml:space="preserve">2.既有出租屋的建筑之间或与其他耐火等级建筑之间的防火间距应符合下列要求之一： </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 xml:space="preserve">a  一、二级耐火等级建筑之间或与其他耐火等级建筑之间的防火间距不宜小于 4m，当相邻的两座一、二级耐火等级的建筑，其中一座建筑的相邻外墙为防火墙且较低一座建筑屋顶不设置天窗、屋顶承重构件及屋面板的耐火极限不低于 1.00h 时，防火间距不限； </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 xml:space="preserve">b  一、二级耐火等级建筑之间或与其他耐火等级建筑之间，当建筑相邻每面外墙上的门、窗、洞口面积之和不大于该外墙面积的 10%且不正对开设时，建筑之间的防火间距可减少为 2m ； </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c  三、四级耐火等级建筑之间的防火间距不宜小于 6m，当建筑相邻外墙为不燃烧体，每面墙上的门、窗、洞口面积之和小于等于该外墙面积的 10%且不正对开设时，建筑之间的防火间距可减少为 4m。</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不符合以上要求的，扣10分。</w:t>
            </w:r>
          </w:p>
        </w:tc>
        <w:tc>
          <w:tcPr>
            <w:tcW w:w="1635" w:type="dxa"/>
            <w:noWrap w:val="0"/>
            <w:vAlign w:val="center"/>
          </w:tcPr>
          <w:p>
            <w:pPr>
              <w:spacing w:line="320" w:lineRule="exact"/>
              <w:jc w:val="left"/>
              <w:rPr>
                <w:rFonts w:hint="default"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hint="default" w:ascii="Times New Roman" w:hAnsi="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continue"/>
            <w:noWrap w:val="0"/>
            <w:vAlign w:val="center"/>
          </w:tcPr>
          <w:p>
            <w:pPr>
              <w:jc w:val="center"/>
              <w:rPr>
                <w:rFonts w:hint="default" w:ascii="Times New Roman" w:hAnsi="Times New Roman"/>
                <w:b/>
                <w:bCs/>
                <w:color w:val="auto"/>
                <w:sz w:val="24"/>
                <w:szCs w:val="24"/>
                <w:highlight w:val="none"/>
              </w:rPr>
            </w:pPr>
          </w:p>
        </w:tc>
        <w:tc>
          <w:tcPr>
            <w:tcW w:w="2854" w:type="dxa"/>
            <w:vMerge w:val="continue"/>
            <w:noWrap w:val="0"/>
            <w:vAlign w:val="center"/>
          </w:tcPr>
          <w:p>
            <w:pPr>
              <w:spacing w:line="320" w:lineRule="exact"/>
              <w:jc w:val="left"/>
              <w:rPr>
                <w:rFonts w:hint="default" w:ascii="Times New Roman" w:hAnsi="Times New Roman"/>
                <w:color w:val="auto"/>
                <w:highlight w:val="none"/>
              </w:rPr>
            </w:pP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3.建筑高度不大于15m的出租屋建筑密集区防火间距不满足要求时，未采取以下措施的，扣10分：</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a耐火等级为一、二级的建筑密集区，占地面积不应超过5000m2；当超过时，应在密集区内设置宽度不小于6m的防火隔离带进行防火分隔；</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b耐火等级为三、四级的建筑密集区，占地面积不应超过3000m2；当超过时，应在密集区内设置宽度不小于10m的防火隔离带进行防火分隔。</w:t>
            </w:r>
          </w:p>
        </w:tc>
        <w:tc>
          <w:tcPr>
            <w:tcW w:w="1635" w:type="dxa"/>
            <w:noWrap w:val="0"/>
            <w:vAlign w:val="center"/>
          </w:tcPr>
          <w:p>
            <w:pPr>
              <w:spacing w:line="320" w:lineRule="exact"/>
              <w:jc w:val="left"/>
              <w:rPr>
                <w:rFonts w:hint="default"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hint="default" w:ascii="Times New Roman" w:hAnsi="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01"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安全疏散</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50</w:t>
            </w:r>
            <w:r>
              <w:rPr>
                <w:rFonts w:ascii="Times New Roman" w:hAnsi="Times New Roman"/>
                <w:b/>
                <w:color w:val="auto"/>
                <w:kern w:val="0"/>
                <w:sz w:val="24"/>
                <w:highlight w:val="none"/>
              </w:rPr>
              <w:t>分）</w:t>
            </w: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3</w:t>
            </w:r>
            <w:r>
              <w:rPr>
                <w:rFonts w:ascii="Times New Roman" w:hAnsi="Times New Roman"/>
                <w:color w:val="auto"/>
                <w:highlight w:val="none"/>
              </w:rPr>
              <w:t>.</w:t>
            </w:r>
            <w:r>
              <w:rPr>
                <w:rFonts w:hint="default" w:ascii="Times New Roman" w:hAnsi="Times New Roman"/>
                <w:color w:val="auto"/>
                <w:highlight w:val="none"/>
              </w:rPr>
              <w:t>防火分隔是否符合要求</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4.出租屋与生产、储存、经营其他物品的场所设置在同一建筑物内时，居住部分与非居住部分未进行防火分隔，并分别设置独立的楼梯等疏散设施或未采用耐火极限不低于 2h 且不开设门、窗、洞口的隔墙和耐火极限不低于 1h 的楼板进行分隔的，扣60分。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4.安全疏散是否符合要求</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5.疏散楼梯和疏散走道的设置符合以下情形之一的，每项扣10分：</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a三层及三层以上出租屋疏散楼梯采用木楼梯或未经防火保护的金属楼梯的;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 建筑高度大于21m（含），不大于30m的出租屋建筑，疏散楼梯间不能直通屋顶平台或未能直通屋顶平台，且在每层居室通向楼梯间的出入口处未设乙级防火门分隔的；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c建筑高度30m（含）以上的出租屋建筑，疏散楼梯间不能直通屋顶平台；</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d通过长度大于10米的内走道连接各户的出租屋，疏散楼梯没有采用封闭楼梯间的；</w:t>
            </w:r>
            <w:r>
              <w:rPr>
                <w:rFonts w:ascii="Times New Roman" w:hAnsi="Times New Roman"/>
                <w:color w:val="auto"/>
                <w:highlight w:val="none"/>
              </w:rPr>
              <w:t xml:space="preserve"> </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e长度超过20米的室内疏散走道未设置灯光疏散指示标志的。</w:t>
            </w:r>
          </w:p>
        </w:tc>
        <w:tc>
          <w:tcPr>
            <w:tcW w:w="1635"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continue"/>
            <w:noWrap w:val="0"/>
            <w:vAlign w:val="center"/>
          </w:tcPr>
          <w:p>
            <w:pPr>
              <w:spacing w:line="320" w:lineRule="exact"/>
              <w:jc w:val="left"/>
              <w:rPr>
                <w:rFonts w:ascii="Times New Roman" w:hAnsi="Times New Roman"/>
                <w:color w:val="auto"/>
                <w:highlight w:val="none"/>
              </w:rPr>
            </w:pP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6.建筑高度大于54m（含）的出租屋建筑，未设有两部不同方向的疏散楼梯的，扣30分；未设有两部不同方向的疏散楼梯的建筑高度大于27m（含）、小于54m的出租屋建筑，外窗、阳台上的防盗网未设置长宽净尺寸不小于1米、0.8米且向外开启的紧急逃生口且未在公共区域外设置逃生软梯、逃生缓降器、消防逃生梯或辅助爬梯等辅助疏散逃生设施的，扣30分；未设有两部不同方向的疏散楼梯的建筑高度小于27m的出租屋建筑，外窗、阳台上的防盗网未设置长宽净尺寸不小于1米、0.8米且向外开启的紧急逃生口或未在公共区域外设置逃生软梯、逃生缓降器、消防逃生梯或辅助爬梯等辅助疏散逃生设施的，扣30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vMerge w:val="continue"/>
            <w:noWrap w:val="0"/>
            <w:vAlign w:val="center"/>
          </w:tcPr>
          <w:p>
            <w:pPr>
              <w:spacing w:line="320" w:lineRule="exact"/>
              <w:jc w:val="left"/>
              <w:rPr>
                <w:rFonts w:ascii="Times New Roman" w:hAnsi="Times New Roman"/>
                <w:color w:val="auto"/>
                <w:highlight w:val="none"/>
              </w:rPr>
            </w:pP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7.</w:t>
            </w:r>
            <w:r>
              <w:rPr>
                <w:rFonts w:ascii="Times New Roman" w:hAnsi="Times New Roman"/>
                <w:color w:val="auto"/>
                <w:highlight w:val="none"/>
              </w:rPr>
              <w:t>疏散通道、安全出口</w:t>
            </w:r>
            <w:r>
              <w:rPr>
                <w:rFonts w:hint="default" w:ascii="Times New Roman" w:hAnsi="Times New Roman"/>
                <w:color w:val="auto"/>
                <w:highlight w:val="none"/>
              </w:rPr>
              <w:t>符合以下情形之一的，</w:t>
            </w:r>
            <w:r>
              <w:rPr>
                <w:rFonts w:ascii="Times New Roman" w:hAnsi="Times New Roman"/>
                <w:color w:val="auto"/>
                <w:highlight w:val="none"/>
              </w:rPr>
              <w:t>扣</w:t>
            </w:r>
            <w:r>
              <w:rPr>
                <w:rFonts w:hint="default" w:ascii="Times New Roman" w:hAnsi="Times New Roman"/>
                <w:color w:val="auto"/>
                <w:highlight w:val="none"/>
              </w:rPr>
              <w:t>30</w:t>
            </w:r>
            <w:r>
              <w:rPr>
                <w:rFonts w:ascii="Times New Roman" w:hAnsi="Times New Roman"/>
                <w:color w:val="auto"/>
                <w:highlight w:val="none"/>
              </w:rPr>
              <w:t>分。</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a</w:t>
            </w:r>
            <w:r>
              <w:rPr>
                <w:rFonts w:ascii="Times New Roman" w:hAnsi="Times New Roman"/>
                <w:color w:val="auto"/>
                <w:highlight w:val="none"/>
              </w:rPr>
              <w:t>疏散通道、安全出口</w:t>
            </w:r>
            <w:r>
              <w:rPr>
                <w:rFonts w:hint="default" w:ascii="Times New Roman" w:hAnsi="Times New Roman"/>
                <w:color w:val="auto"/>
                <w:highlight w:val="none"/>
              </w:rPr>
              <w:t>未保持畅通无阻，存在</w:t>
            </w:r>
            <w:r>
              <w:rPr>
                <w:rFonts w:ascii="Times New Roman" w:hAnsi="Times New Roman"/>
                <w:color w:val="auto"/>
                <w:highlight w:val="none"/>
              </w:rPr>
              <w:t>堵塞、占用</w:t>
            </w:r>
            <w:r>
              <w:rPr>
                <w:rFonts w:hint="default" w:ascii="Times New Roman" w:hAnsi="Times New Roman"/>
                <w:color w:val="auto"/>
                <w:highlight w:val="none"/>
              </w:rPr>
              <w:t>和</w:t>
            </w:r>
            <w:r>
              <w:rPr>
                <w:rFonts w:ascii="Times New Roman" w:hAnsi="Times New Roman"/>
                <w:color w:val="auto"/>
                <w:highlight w:val="none"/>
              </w:rPr>
              <w:t>锁闭</w:t>
            </w:r>
            <w:r>
              <w:rPr>
                <w:rFonts w:hint="default" w:ascii="Times New Roman" w:hAnsi="Times New Roman"/>
                <w:color w:val="auto"/>
                <w:highlight w:val="none"/>
              </w:rPr>
              <w:t>；</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b违规设置影响疏散的铁门、金属栅栏门等设施，或确因安全需要设置的，无法确保在任何时候均可以不借助任何工具从内部开启；</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c设置门禁锁时未采用断电时处于开锁状态的电磁吸合式门锁；</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d疏散出口的门未设置朝疏散方向开启的平开门，违规设置卷闸门、侧拉门；</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5.电动自行车消防安全管理</w:t>
            </w:r>
          </w:p>
        </w:tc>
        <w:tc>
          <w:tcPr>
            <w:tcW w:w="6521" w:type="dxa"/>
            <w:noWrap w:val="0"/>
            <w:vAlign w:val="center"/>
          </w:tcPr>
          <w:p>
            <w:pPr>
              <w:spacing w:line="320" w:lineRule="exact"/>
              <w:jc w:val="left"/>
              <w:rPr>
                <w:rFonts w:hint="default" w:ascii="Times New Roman" w:hAnsi="Times New Roman"/>
                <w:color w:val="auto"/>
                <w:szCs w:val="21"/>
                <w:highlight w:val="none"/>
              </w:rPr>
            </w:pPr>
            <w:r>
              <w:rPr>
                <w:rFonts w:hint="default" w:ascii="Times New Roman" w:hAnsi="Times New Roman"/>
                <w:color w:val="auto"/>
                <w:szCs w:val="21"/>
                <w:highlight w:val="none"/>
              </w:rPr>
              <w:t>8.电动自行车管理存在以下情形之一的，扣30分：</w:t>
            </w:r>
          </w:p>
          <w:p>
            <w:pPr>
              <w:spacing w:line="320" w:lineRule="exact"/>
              <w:jc w:val="left"/>
              <w:rPr>
                <w:rFonts w:hint="default" w:ascii="Times New Roman" w:hAnsi="Times New Roman"/>
                <w:color w:val="auto"/>
                <w:szCs w:val="21"/>
                <w:highlight w:val="none"/>
              </w:rPr>
            </w:pPr>
            <w:r>
              <w:rPr>
                <w:rFonts w:hint="default" w:ascii="Times New Roman" w:hAnsi="Times New Roman"/>
                <w:color w:val="auto"/>
                <w:szCs w:val="21"/>
                <w:highlight w:val="none"/>
              </w:rPr>
              <w:t>a电动自行车在室内存放或未实行集中放置，在楼梯间、楼道、疏散通道、安全出口等区域违规停放或充电的；</w:t>
            </w:r>
          </w:p>
          <w:p>
            <w:pPr>
              <w:spacing w:line="320" w:lineRule="exact"/>
              <w:jc w:val="left"/>
              <w:rPr>
                <w:rFonts w:hint="default" w:ascii="Times New Roman" w:hAnsi="Times New Roman"/>
                <w:color w:val="auto"/>
                <w:highlight w:val="none"/>
              </w:rPr>
            </w:pPr>
            <w:r>
              <w:rPr>
                <w:rFonts w:hint="default" w:ascii="Times New Roman" w:hAnsi="Times New Roman"/>
                <w:color w:val="auto"/>
                <w:szCs w:val="21"/>
                <w:highlight w:val="none"/>
              </w:rPr>
              <w:t>b电动自行车室外存放确有困难，未在室内采用不燃材料完全分隔，设置独立防火单元作为电动自行车库（棚）使用，并同时配套设置简易喷淋等灭火设施的</w:t>
            </w:r>
            <w:r>
              <w:rPr>
                <w:rFonts w:ascii="Times New Roman" w:hAnsi="Times New Roman"/>
                <w:color w:val="auto"/>
                <w:szCs w:val="21"/>
                <w:highlight w:val="none"/>
              </w:rPr>
              <w:t>。</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1"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消防设施和灭火器材</w:t>
            </w:r>
          </w:p>
          <w:p>
            <w:pPr>
              <w:jc w:val="center"/>
              <w:rPr>
                <w:rFonts w:ascii="Times New Roman" w:hAnsi="Times New Roman"/>
                <w:b/>
                <w:color w:val="auto"/>
                <w:kern w:val="0"/>
                <w:sz w:val="24"/>
                <w:highlight w:val="none"/>
              </w:rPr>
            </w:pPr>
            <w:r>
              <w:rPr>
                <w:rFonts w:ascii="Times New Roman" w:hAnsi="Times New Roman"/>
                <w:b/>
                <w:color w:val="auto"/>
                <w:kern w:val="0"/>
                <w:sz w:val="24"/>
                <w:highlight w:val="none"/>
              </w:rPr>
              <w:t>（2</w:t>
            </w:r>
            <w:r>
              <w:rPr>
                <w:rFonts w:hint="default" w:ascii="Times New Roman" w:hAnsi="Times New Roman"/>
                <w:b/>
                <w:color w:val="auto"/>
                <w:kern w:val="0"/>
                <w:sz w:val="24"/>
                <w:highlight w:val="none"/>
              </w:rPr>
              <w:t>0</w:t>
            </w:r>
            <w:r>
              <w:rPr>
                <w:rFonts w:ascii="Times New Roman" w:hAnsi="Times New Roman"/>
                <w:b/>
                <w:color w:val="auto"/>
                <w:kern w:val="0"/>
                <w:sz w:val="24"/>
                <w:highlight w:val="none"/>
              </w:rPr>
              <w:t>分）</w:t>
            </w: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6.是否按要求设置消防应急照明</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9.疏散楼梯、疏散走道内</w:t>
            </w:r>
            <w:r>
              <w:rPr>
                <w:rFonts w:ascii="Times New Roman" w:hAnsi="Times New Roman"/>
                <w:color w:val="auto"/>
                <w:highlight w:val="none"/>
              </w:rPr>
              <w:t>未配置消防应急照明，或消防应急照明灯安装不符合要求</w:t>
            </w:r>
            <w:r>
              <w:rPr>
                <w:rFonts w:hint="default" w:ascii="Times New Roman" w:hAnsi="Times New Roman"/>
                <w:color w:val="auto"/>
                <w:highlight w:val="none"/>
              </w:rPr>
              <w:t>、不能正常工作</w:t>
            </w:r>
            <w:r>
              <w:rPr>
                <w:rFonts w:ascii="Times New Roman" w:hAnsi="Times New Roman"/>
                <w:color w:val="auto"/>
                <w:highlight w:val="none"/>
              </w:rPr>
              <w:t>的，扣</w:t>
            </w:r>
            <w:r>
              <w:rPr>
                <w:rFonts w:hint="default" w:ascii="Times New Roman" w:hAnsi="Times New Roman"/>
                <w:color w:val="auto"/>
                <w:highlight w:val="none"/>
              </w:rPr>
              <w:t>10</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1" w:type="dxa"/>
            <w:vMerge w:val="continue"/>
            <w:noWrap w:val="0"/>
            <w:vAlign w:val="center"/>
          </w:tcPr>
          <w:p>
            <w:pPr>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7</w:t>
            </w:r>
            <w:r>
              <w:rPr>
                <w:rFonts w:ascii="Times New Roman" w:hAnsi="Times New Roman"/>
                <w:color w:val="auto"/>
                <w:highlight w:val="none"/>
              </w:rPr>
              <w:t>.是否按要求设置独立式感烟火灾探测报警器</w:t>
            </w: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sz w:val="20"/>
                <w:szCs w:val="20"/>
                <w:highlight w:val="none"/>
              </w:rPr>
              <w:t>10</w:t>
            </w:r>
            <w:r>
              <w:rPr>
                <w:rFonts w:ascii="Times New Roman" w:hAnsi="Times New Roman"/>
                <w:color w:val="auto"/>
                <w:sz w:val="20"/>
                <w:szCs w:val="20"/>
                <w:highlight w:val="none"/>
              </w:rPr>
              <w:t>.</w:t>
            </w:r>
            <w:r>
              <w:rPr>
                <w:rFonts w:hint="default" w:ascii="Times New Roman" w:hAnsi="Times New Roman"/>
                <w:color w:val="auto"/>
                <w:sz w:val="20"/>
                <w:szCs w:val="20"/>
                <w:highlight w:val="none"/>
                <w:lang w:val="en-US" w:eastAsia="zh-CN"/>
              </w:rPr>
              <w:t>公共区域</w:t>
            </w:r>
            <w:r>
              <w:rPr>
                <w:rFonts w:ascii="Times New Roman" w:hAnsi="Times New Roman"/>
                <w:color w:val="auto"/>
                <w:sz w:val="20"/>
                <w:szCs w:val="20"/>
                <w:highlight w:val="none"/>
              </w:rPr>
              <w:t>未设置</w:t>
            </w:r>
            <w:r>
              <w:rPr>
                <w:rFonts w:ascii="Times New Roman" w:hAnsi="Times New Roman"/>
                <w:color w:val="auto"/>
                <w:highlight w:val="none"/>
              </w:rPr>
              <w:t>独立式感烟火灾探测报警器</w:t>
            </w:r>
            <w:r>
              <w:rPr>
                <w:rFonts w:ascii="Times New Roman" w:hAnsi="Times New Roman"/>
                <w:color w:val="auto"/>
                <w:sz w:val="20"/>
                <w:szCs w:val="20"/>
                <w:highlight w:val="none"/>
              </w:rPr>
              <w:t>，或</w:t>
            </w:r>
            <w:r>
              <w:rPr>
                <w:rFonts w:ascii="Times New Roman" w:hAnsi="Times New Roman"/>
                <w:color w:val="auto"/>
                <w:highlight w:val="none"/>
              </w:rPr>
              <w:t>独立式感烟火灾探测报警器</w:t>
            </w:r>
            <w:r>
              <w:rPr>
                <w:rFonts w:ascii="Times New Roman" w:hAnsi="Times New Roman"/>
                <w:color w:val="auto"/>
                <w:sz w:val="20"/>
                <w:szCs w:val="20"/>
                <w:highlight w:val="none"/>
              </w:rPr>
              <w:t>安装不符合要求、不能正常工作的，扣10分。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场所全部安装联网式无线火灾报警器的，此项加5分。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8</w:t>
            </w:r>
            <w:r>
              <w:rPr>
                <w:rFonts w:ascii="Times New Roman" w:hAnsi="Times New Roman"/>
                <w:color w:val="auto"/>
                <w:highlight w:val="none"/>
              </w:rPr>
              <w:t>.是否按要求配置灭火器</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11.未按每层公共区域至少配置2具</w:t>
            </w:r>
            <w:r>
              <w:rPr>
                <w:rFonts w:ascii="Times New Roman" w:hAnsi="Times New Roman"/>
                <w:color w:val="auto"/>
                <w:highlight w:val="none"/>
              </w:rPr>
              <w:t>4kg ABC手提式干粉灭火器</w:t>
            </w:r>
            <w:r>
              <w:rPr>
                <w:rFonts w:hint="default" w:ascii="Times New Roman" w:hAnsi="Times New Roman"/>
                <w:color w:val="auto"/>
                <w:highlight w:val="none"/>
              </w:rPr>
              <w:t>或配备的灭火器不能正常使用</w:t>
            </w:r>
            <w:r>
              <w:rPr>
                <w:rFonts w:ascii="Times New Roman" w:hAnsi="Times New Roman"/>
                <w:color w:val="auto"/>
                <w:highlight w:val="none"/>
              </w:rPr>
              <w:t>的，扣1</w:t>
            </w:r>
            <w:r>
              <w:rPr>
                <w:rFonts w:hint="default" w:ascii="Times New Roman" w:hAnsi="Times New Roman"/>
                <w:color w:val="auto"/>
                <w:highlight w:val="none"/>
              </w:rPr>
              <w:t>0</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401" w:type="dxa"/>
            <w:vMerge w:val="continue"/>
            <w:noWrap w:val="0"/>
            <w:vAlign w:val="center"/>
          </w:tcPr>
          <w:p>
            <w:pPr>
              <w:widowControl/>
              <w:jc w:val="center"/>
              <w:rPr>
                <w:rFonts w:ascii="Times New Roman" w:hAnsi="Times New Roman"/>
                <w:b/>
                <w:color w:val="auto"/>
                <w:kern w:val="0"/>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9.是否按要求设置其它消防设施</w:t>
            </w: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12.出租屋建筑存在以下情形之一的，发现一处扣20分：</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a建筑高度不大于21m的出租屋建筑未设置消防软管卷盘或简易喷淋装置的；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b建筑高度大于21m（含）的出租屋建筑未设置室内消火栓系统；</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c建筑高度大于21m（含）的出租屋建筑，公共部位未设置具有语音功能的火灾声警报装置或应急广播的；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d建筑高度大于21m（含）但不大于54m的高层出租屋建筑，其公共部位未设置火灾自动报警系统的；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e建筑高度大于54m（含）但不大于100m的出租屋建筑，其公共部位未设置火灾自动报警系统或套内未设置火灾探测器的；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f建筑内走道大于20m的出租屋建筑，其疏散通道未设置排烟设施的;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g设置的室内消火栓系统、消防软管卷盘、自动灭火系统、火灾自动报警系统、火灾探测器、火灾声警报装置或应急广播等不能正常使用的；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h出租屋建筑未设置消防应急照明或消防应急照明的设置不符合GB 50016的规定的；</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i出租屋建筑未设置消防疏散指示标志或消防疏散指示标志设置不符合GB 50016的规定的。</w:t>
            </w:r>
          </w:p>
        </w:tc>
        <w:tc>
          <w:tcPr>
            <w:tcW w:w="1635"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restart"/>
            <w:noWrap w:val="0"/>
            <w:vAlign w:val="center"/>
          </w:tcPr>
          <w:p>
            <w:pPr>
              <w:jc w:val="center"/>
              <w:rPr>
                <w:rFonts w:ascii="Times New Roman" w:hAnsi="Times New Roman"/>
                <w:b/>
                <w:color w:val="auto"/>
                <w:kern w:val="0"/>
                <w:sz w:val="24"/>
                <w:highlight w:val="none"/>
              </w:rPr>
            </w:pPr>
            <w:r>
              <w:rPr>
                <w:rFonts w:hint="default" w:ascii="Times New Roman" w:hAnsi="Times New Roman"/>
                <w:b/>
                <w:color w:val="auto"/>
                <w:kern w:val="0"/>
                <w:sz w:val="24"/>
                <w:highlight w:val="none"/>
              </w:rPr>
              <w:t>火灾危险源控制</w:t>
            </w:r>
          </w:p>
          <w:p>
            <w:pPr>
              <w:jc w:val="center"/>
              <w:rPr>
                <w:rFonts w:ascii="Times New Roman" w:hAnsi="Times New Roman"/>
                <w:b/>
                <w:color w:val="auto"/>
                <w:kern w:val="0"/>
                <w:sz w:val="24"/>
                <w:highlight w:val="none"/>
              </w:rPr>
            </w:pPr>
            <w:r>
              <w:rPr>
                <w:rFonts w:hint="default" w:ascii="Times New Roman" w:hAnsi="Times New Roman"/>
                <w:b/>
                <w:color w:val="auto"/>
                <w:kern w:val="0"/>
                <w:sz w:val="24"/>
                <w:highlight w:val="none"/>
              </w:rPr>
              <w:t>（10</w:t>
            </w:r>
            <w:r>
              <w:rPr>
                <w:rFonts w:ascii="Times New Roman" w:hAnsi="Times New Roman"/>
                <w:b/>
                <w:color w:val="auto"/>
                <w:kern w:val="0"/>
                <w:sz w:val="24"/>
                <w:highlight w:val="none"/>
              </w:rPr>
              <w:t>分</w:t>
            </w:r>
            <w:r>
              <w:rPr>
                <w:rFonts w:hint="default" w:ascii="Times New Roman" w:hAnsi="Times New Roman"/>
                <w:b/>
                <w:color w:val="auto"/>
                <w:kern w:val="0"/>
                <w:sz w:val="24"/>
                <w:highlight w:val="none"/>
              </w:rPr>
              <w:t>）</w:t>
            </w: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10</w:t>
            </w:r>
            <w:r>
              <w:rPr>
                <w:rFonts w:ascii="Times New Roman" w:hAnsi="Times New Roman"/>
                <w:color w:val="auto"/>
                <w:highlight w:val="none"/>
              </w:rPr>
              <w:t>.电气线路</w:t>
            </w:r>
            <w:r>
              <w:rPr>
                <w:rFonts w:hint="default" w:ascii="Times New Roman" w:hAnsi="Times New Roman"/>
                <w:color w:val="auto"/>
                <w:highlight w:val="none"/>
              </w:rPr>
              <w:t>私拉乱接、电气设备使用</w:t>
            </w:r>
            <w:r>
              <w:rPr>
                <w:rFonts w:ascii="Times New Roman" w:hAnsi="Times New Roman"/>
                <w:color w:val="auto"/>
                <w:highlight w:val="none"/>
              </w:rPr>
              <w:t>是否符合要求</w:t>
            </w: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13.电气线路私拉乱接、电气设备使用不规范，存在以下情形之一的，扣</w:t>
            </w:r>
            <w:r>
              <w:rPr>
                <w:rFonts w:hint="default" w:ascii="Times New Roman" w:hAnsi="Times New Roman"/>
                <w:color w:val="auto"/>
                <w:highlight w:val="none"/>
                <w:lang w:val="en-US" w:eastAsia="zh-CN"/>
              </w:rPr>
              <w:t>5</w:t>
            </w:r>
            <w:r>
              <w:rPr>
                <w:rFonts w:hint="default" w:ascii="Times New Roman" w:hAnsi="Times New Roman"/>
                <w:color w:val="auto"/>
                <w:highlight w:val="none"/>
              </w:rPr>
              <w:t>分：</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a电器设备超负荷使用、线排串联；</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b用铜丝、铁丝等代替保险丝；</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c电热炉、电加热器、电暖器、电饭锅、电熨斗、电热毯等电热器具使用后未采取拔出电源插销等切断电源的措施；</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d对产生高温或使用明火的设备，未限制周围可燃物或使用期间未设专人监护；</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e未安装防火型漏电开关或新型防短路、防过载、防电弧断路保护开关并选用合格电气产品的；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f供、用电线路未根据国家电气技术标准，采取穿金属管、封闭式金属线槽或者绝缘阻燃PVC电工套管保护措施的；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g强电线路未按规定使用阻燃电缆或电气线路违规使用易燃电线电缆的；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h开关、电闸、配电箱未使用符合国家市场准入电气产品的。</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continue"/>
            <w:noWrap w:val="0"/>
            <w:vAlign w:val="center"/>
          </w:tcPr>
          <w:p>
            <w:pPr>
              <w:jc w:val="center"/>
              <w:rPr>
                <w:rFonts w:hint="default" w:ascii="Times New Roman" w:hAnsi="Times New Roman"/>
                <w:b/>
                <w:color w:val="auto"/>
                <w:kern w:val="0"/>
                <w:sz w:val="24"/>
                <w:highlight w:val="none"/>
              </w:rPr>
            </w:pPr>
          </w:p>
        </w:tc>
        <w:tc>
          <w:tcPr>
            <w:tcW w:w="2854" w:type="dxa"/>
            <w:noWrap w:val="0"/>
            <w:vAlign w:val="center"/>
          </w:tcPr>
          <w:p>
            <w:pPr>
              <w:spacing w:line="320" w:lineRule="exact"/>
              <w:jc w:val="left"/>
              <w:rPr>
                <w:rFonts w:hint="default" w:ascii="Times New Roman" w:hAnsi="Times New Roman" w:eastAsia="宋体"/>
                <w:color w:val="auto"/>
                <w:highlight w:val="none"/>
                <w:lang w:val="en-US" w:eastAsia="zh-CN"/>
              </w:rPr>
            </w:pPr>
            <w:r>
              <w:rPr>
                <w:rFonts w:hint="default" w:ascii="Times New Roman" w:hAnsi="Times New Roman"/>
                <w:color w:val="auto"/>
                <w:highlight w:val="none"/>
                <w:lang w:val="en-US" w:eastAsia="zh-CN"/>
              </w:rPr>
              <w:t>11.燃气用具安装、瓶装液化石油气使用及燃气管线敷设是否符合规定要求</w:t>
            </w: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14.</w:t>
            </w:r>
            <w:r>
              <w:rPr>
                <w:rFonts w:hint="default" w:ascii="Times New Roman" w:hAnsi="Times New Roman"/>
                <w:color w:val="auto"/>
                <w:highlight w:val="none"/>
              </w:rPr>
              <w:t>存在以下情形之一的，扣</w:t>
            </w:r>
            <w:r>
              <w:rPr>
                <w:rFonts w:hint="default" w:ascii="Times New Roman" w:hAnsi="Times New Roman"/>
                <w:color w:val="auto"/>
                <w:highlight w:val="none"/>
                <w:lang w:val="en-US" w:eastAsia="zh-CN"/>
              </w:rPr>
              <w:t>5</w:t>
            </w:r>
            <w:r>
              <w:rPr>
                <w:rFonts w:hint="default" w:ascii="Times New Roman" w:hAnsi="Times New Roman"/>
                <w:color w:val="auto"/>
                <w:highlight w:val="none"/>
              </w:rPr>
              <w:t>分：</w:t>
            </w:r>
          </w:p>
          <w:p>
            <w:pPr>
              <w:spacing w:line="320" w:lineRule="exact"/>
              <w:jc w:val="left"/>
              <w:rPr>
                <w:rFonts w:hint="default" w:ascii="Times New Roman" w:hAnsi="Times New Roman" w:eastAsia="宋体"/>
                <w:color w:val="auto"/>
                <w:highlight w:val="none"/>
                <w:lang w:val="en-US" w:eastAsia="zh-CN"/>
              </w:rPr>
            </w:pPr>
            <w:r>
              <w:rPr>
                <w:rFonts w:hint="default" w:ascii="Times New Roman" w:hAnsi="Times New Roman"/>
                <w:color w:val="auto"/>
                <w:highlight w:val="none"/>
              </w:rPr>
              <w:t>a使用明火的厨房</w:t>
            </w:r>
            <w:r>
              <w:rPr>
                <w:rFonts w:hint="default" w:ascii="Times New Roman" w:hAnsi="Times New Roman"/>
                <w:color w:val="auto"/>
                <w:highlight w:val="none"/>
                <w:lang w:val="en-US" w:eastAsia="zh-CN"/>
              </w:rPr>
              <w:t>未</w:t>
            </w:r>
            <w:r>
              <w:rPr>
                <w:rFonts w:hint="default" w:ascii="Times New Roman" w:hAnsi="Times New Roman"/>
                <w:color w:val="auto"/>
                <w:highlight w:val="none"/>
              </w:rPr>
              <w:t>采用不燃烧体隔墙和密闭门、窗与其他功能区域分隔，并设置排油烟设施或开启外窗</w:t>
            </w:r>
            <w:r>
              <w:rPr>
                <w:rFonts w:hint="default" w:ascii="Times New Roman" w:hAnsi="Times New Roman"/>
                <w:color w:val="auto"/>
                <w:highlight w:val="none"/>
                <w:lang w:val="en-US" w:eastAsia="zh-CN"/>
              </w:rPr>
              <w:t>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b除厨房以外区域使用明火</w:t>
            </w:r>
            <w:r>
              <w:rPr>
                <w:rFonts w:hint="default" w:ascii="Times New Roman" w:hAnsi="Times New Roman"/>
                <w:color w:val="auto"/>
                <w:highlight w:val="none"/>
                <w:lang w:val="en-US" w:eastAsia="zh-CN"/>
              </w:rPr>
              <w:t>或</w:t>
            </w:r>
            <w:r>
              <w:rPr>
                <w:rFonts w:hint="default" w:ascii="Times New Roman" w:hAnsi="Times New Roman"/>
                <w:color w:val="auto"/>
                <w:highlight w:val="none"/>
              </w:rPr>
              <w:t>使用、存放瓶装液化石油气及其他易燃易爆危险品</w:t>
            </w:r>
            <w:r>
              <w:rPr>
                <w:rFonts w:hint="default" w:ascii="Times New Roman" w:hAnsi="Times New Roman"/>
                <w:color w:val="auto"/>
                <w:highlight w:val="none"/>
                <w:lang w:val="en-US" w:eastAsia="zh-CN"/>
              </w:rPr>
              <w:t>的；</w:t>
            </w:r>
          </w:p>
          <w:p>
            <w:pPr>
              <w:spacing w:line="320" w:lineRule="exact"/>
              <w:jc w:val="left"/>
              <w:rPr>
                <w:rFonts w:hint="default" w:ascii="Times New Roman" w:hAnsi="Times New Roman" w:eastAsia="宋体"/>
                <w:color w:val="auto"/>
                <w:highlight w:val="none"/>
                <w:lang w:val="en-US" w:eastAsia="zh-CN"/>
              </w:rPr>
            </w:pPr>
            <w:r>
              <w:rPr>
                <w:rFonts w:hint="default" w:ascii="Times New Roman" w:hAnsi="Times New Roman"/>
                <w:color w:val="auto"/>
                <w:highlight w:val="none"/>
              </w:rPr>
              <w:t>c设置于高层建筑内或设置公共厨房的群租房</w:t>
            </w:r>
            <w:r>
              <w:rPr>
                <w:rFonts w:hint="default" w:ascii="Times New Roman" w:hAnsi="Times New Roman"/>
                <w:color w:val="auto"/>
                <w:highlight w:val="none"/>
                <w:lang w:val="en-US" w:eastAsia="zh-CN"/>
              </w:rPr>
              <w:t>未</w:t>
            </w:r>
            <w:r>
              <w:rPr>
                <w:rFonts w:hint="default" w:ascii="Times New Roman" w:hAnsi="Times New Roman"/>
                <w:color w:val="auto"/>
                <w:highlight w:val="none"/>
              </w:rPr>
              <w:t>采用液化石油气瓶组供气，并设置独立瓶组间</w:t>
            </w:r>
            <w:r>
              <w:rPr>
                <w:rFonts w:hint="default" w:ascii="Times New Roman" w:hAnsi="Times New Roman"/>
                <w:color w:val="auto"/>
                <w:highlight w:val="none"/>
                <w:lang w:val="en-US" w:eastAsia="zh-CN"/>
              </w:rPr>
              <w:t>的。</w:t>
            </w:r>
          </w:p>
        </w:tc>
        <w:tc>
          <w:tcPr>
            <w:tcW w:w="1635" w:type="dxa"/>
            <w:noWrap w:val="0"/>
            <w:vAlign w:val="center"/>
          </w:tcPr>
          <w:p>
            <w:pPr>
              <w:spacing w:line="320" w:lineRule="exact"/>
              <w:jc w:val="left"/>
              <w:rPr>
                <w:rFonts w:hint="default" w:ascii="Times New Roman" w:hAnsi="Times New Roman" w:eastAsia="宋体"/>
                <w:color w:val="auto"/>
                <w:highlight w:val="none"/>
                <w:lang w:val="en-US" w:eastAsia="zh-CN"/>
              </w:rPr>
            </w:pPr>
            <w:r>
              <w:rPr>
                <w:rFonts w:hint="default" w:ascii="Times New Roman" w:hAnsi="Times New Roman"/>
                <w:color w:val="auto"/>
                <w:highlight w:val="none"/>
                <w:lang w:val="en-US" w:eastAsia="zh-CN"/>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continue"/>
            <w:noWrap w:val="0"/>
            <w:vAlign w:val="center"/>
          </w:tcPr>
          <w:p>
            <w:pPr>
              <w:jc w:val="center"/>
              <w:rPr>
                <w:rFonts w:hint="default" w:ascii="Times New Roman" w:hAnsi="Times New Roman"/>
                <w:b/>
                <w:color w:val="auto"/>
                <w:kern w:val="0"/>
                <w:sz w:val="24"/>
                <w:highlight w:val="none"/>
              </w:rPr>
            </w:pPr>
          </w:p>
        </w:tc>
        <w:tc>
          <w:tcPr>
            <w:tcW w:w="2854"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2</w:t>
            </w:r>
            <w:r>
              <w:rPr>
                <w:rFonts w:hint="default" w:ascii="Times New Roman" w:hAnsi="Times New Roman"/>
                <w:color w:val="auto"/>
                <w:highlight w:val="none"/>
              </w:rPr>
              <w:t>.是否采用木质材料搭建阁楼</w:t>
            </w: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5</w:t>
            </w:r>
            <w:r>
              <w:rPr>
                <w:rFonts w:hint="default" w:ascii="Times New Roman" w:hAnsi="Times New Roman"/>
                <w:color w:val="auto"/>
                <w:highlight w:val="none"/>
              </w:rPr>
              <w:t>.内部采用木质材料搭建阁楼的，扣10分。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01" w:type="dxa"/>
            <w:vMerge w:val="continue"/>
            <w:noWrap w:val="0"/>
            <w:vAlign w:val="center"/>
          </w:tcPr>
          <w:p>
            <w:pPr>
              <w:jc w:val="center"/>
              <w:rPr>
                <w:rFonts w:hint="default" w:ascii="Times New Roman" w:hAnsi="Times New Roman"/>
                <w:b/>
                <w:color w:val="auto"/>
                <w:kern w:val="0"/>
                <w:sz w:val="24"/>
                <w:highlight w:val="none"/>
              </w:rPr>
            </w:pPr>
          </w:p>
        </w:tc>
        <w:tc>
          <w:tcPr>
            <w:tcW w:w="2854"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3</w:t>
            </w:r>
            <w:r>
              <w:rPr>
                <w:rFonts w:hint="default" w:ascii="Times New Roman" w:hAnsi="Times New Roman"/>
                <w:color w:val="auto"/>
                <w:highlight w:val="none"/>
              </w:rPr>
              <w:t>.是否使用彩钢板、聚氨酯泡沫等易燃材料</w:t>
            </w:r>
          </w:p>
        </w:tc>
        <w:tc>
          <w:tcPr>
            <w:tcW w:w="652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6</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内部使用彩钢板、聚氨酯泡沫等易燃材料</w:t>
            </w:r>
            <w:r>
              <w:rPr>
                <w:rFonts w:hint="default" w:ascii="Times New Roman" w:hAnsi="Times New Roman" w:eastAsia="宋体" w:cs="Times New Roman"/>
                <w:color w:val="auto"/>
                <w:sz w:val="21"/>
                <w:szCs w:val="22"/>
                <w:highlight w:val="none"/>
              </w:rPr>
              <w:t>作为顶棚、隔断或内部装饰装修材料</w:t>
            </w:r>
            <w:r>
              <w:rPr>
                <w:rFonts w:hint="default" w:ascii="Times New Roman" w:hAnsi="Times New Roman" w:eastAsia="宋体" w:cs="Times New Roman"/>
                <w:color w:val="auto"/>
                <w:highlight w:val="none"/>
              </w:rPr>
              <w:t>的</w:t>
            </w:r>
            <w:r>
              <w:rPr>
                <w:rFonts w:hint="default" w:ascii="Times New Roman" w:hAnsi="Times New Roman"/>
                <w:color w:val="auto"/>
                <w:highlight w:val="none"/>
              </w:rPr>
              <w:t>，扣10分。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实地查看</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01"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w:t>
            </w:r>
            <w:r>
              <w:rPr>
                <w:rFonts w:hint="default" w:ascii="Times New Roman" w:hAnsi="Times New Roman"/>
                <w:b/>
                <w:color w:val="auto"/>
                <w:kern w:val="0"/>
                <w:sz w:val="24"/>
                <w:highlight w:val="none"/>
              </w:rPr>
              <w:t>安全管理和</w:t>
            </w:r>
            <w:r>
              <w:rPr>
                <w:rFonts w:ascii="Times New Roman" w:hAnsi="Times New Roman"/>
                <w:b/>
                <w:color w:val="auto"/>
                <w:kern w:val="0"/>
                <w:sz w:val="24"/>
                <w:highlight w:val="none"/>
              </w:rPr>
              <w:t>宣传教育培训</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10</w:t>
            </w:r>
            <w:r>
              <w:rPr>
                <w:rFonts w:ascii="Times New Roman" w:hAnsi="Times New Roman"/>
                <w:b/>
                <w:color w:val="auto"/>
                <w:kern w:val="0"/>
                <w:sz w:val="24"/>
                <w:highlight w:val="none"/>
              </w:rPr>
              <w:t>分)</w:t>
            </w: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4</w:t>
            </w:r>
            <w:r>
              <w:rPr>
                <w:rFonts w:ascii="Times New Roman" w:hAnsi="Times New Roman"/>
                <w:color w:val="auto"/>
                <w:highlight w:val="none"/>
              </w:rPr>
              <w:t>.</w:t>
            </w:r>
            <w:r>
              <w:rPr>
                <w:rFonts w:hint="default" w:ascii="Times New Roman" w:hAnsi="Times New Roman"/>
                <w:color w:val="auto"/>
                <w:highlight w:val="none"/>
              </w:rPr>
              <w:t>租户或业主</w:t>
            </w:r>
            <w:r>
              <w:rPr>
                <w:rFonts w:ascii="Times New Roman" w:hAnsi="Times New Roman"/>
                <w:color w:val="auto"/>
                <w:highlight w:val="none"/>
              </w:rPr>
              <w:t>是否懂得报火警</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7</w:t>
            </w:r>
            <w:r>
              <w:rPr>
                <w:rFonts w:ascii="Times New Roman" w:hAnsi="Times New Roman"/>
                <w:color w:val="auto"/>
                <w:highlight w:val="none"/>
              </w:rPr>
              <w:t>.</w:t>
            </w:r>
            <w:r>
              <w:rPr>
                <w:rFonts w:hint="default" w:ascii="Times New Roman" w:hAnsi="Times New Roman"/>
                <w:color w:val="auto"/>
                <w:highlight w:val="none"/>
              </w:rPr>
              <w:t>租户或业主</w:t>
            </w:r>
            <w:r>
              <w:rPr>
                <w:rFonts w:ascii="Times New Roman" w:hAnsi="Times New Roman"/>
                <w:color w:val="auto"/>
                <w:highlight w:val="none"/>
              </w:rPr>
              <w:t>不熟悉火警电话的，扣</w:t>
            </w:r>
            <w:r>
              <w:rPr>
                <w:rFonts w:hint="default" w:ascii="Times New Roman" w:hAnsi="Times New Roman"/>
                <w:color w:val="auto"/>
                <w:highlight w:val="none"/>
              </w:rPr>
              <w:t>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随机提问至少1</w:t>
            </w:r>
            <w:r>
              <w:rPr>
                <w:rFonts w:hint="default" w:ascii="Times New Roman" w:hAnsi="Times New Roman"/>
                <w:color w:val="auto"/>
                <w:highlight w:val="none"/>
              </w:rPr>
              <w:t>人</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01" w:type="dxa"/>
            <w:vMerge w:val="continue"/>
            <w:noWrap w:val="0"/>
            <w:vAlign w:val="center"/>
          </w:tcPr>
          <w:p>
            <w:pPr>
              <w:spacing w:line="300" w:lineRule="exact"/>
              <w:ind w:right="-107"/>
              <w:rPr>
                <w:rFonts w:ascii="Times New Roman" w:hAnsi="Times New Roman" w:eastAsia="仿宋_GB2312"/>
                <w:bCs/>
                <w:color w:val="auto"/>
                <w:sz w:val="24"/>
                <w:highlight w:val="none"/>
              </w:rPr>
            </w:pPr>
          </w:p>
        </w:tc>
        <w:tc>
          <w:tcPr>
            <w:tcW w:w="2854"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5</w:t>
            </w:r>
            <w:r>
              <w:rPr>
                <w:rFonts w:ascii="Times New Roman" w:hAnsi="Times New Roman"/>
                <w:color w:val="auto"/>
                <w:highlight w:val="none"/>
              </w:rPr>
              <w:t>.</w:t>
            </w:r>
            <w:r>
              <w:rPr>
                <w:rFonts w:hint="default" w:ascii="Times New Roman" w:hAnsi="Times New Roman"/>
                <w:color w:val="auto"/>
                <w:highlight w:val="none"/>
              </w:rPr>
              <w:t>租户或业主</w:t>
            </w:r>
            <w:r>
              <w:rPr>
                <w:rFonts w:ascii="Times New Roman" w:hAnsi="Times New Roman"/>
                <w:color w:val="auto"/>
                <w:highlight w:val="none"/>
              </w:rPr>
              <w:t>是否掌握本场所灭火器材使用方法</w:t>
            </w:r>
          </w:p>
        </w:tc>
        <w:tc>
          <w:tcPr>
            <w:tcW w:w="652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8</w:t>
            </w:r>
            <w:r>
              <w:rPr>
                <w:rFonts w:ascii="Times New Roman" w:hAnsi="Times New Roman"/>
                <w:color w:val="auto"/>
                <w:highlight w:val="none"/>
              </w:rPr>
              <w:t>.</w:t>
            </w:r>
            <w:r>
              <w:rPr>
                <w:rFonts w:hint="default" w:ascii="Times New Roman" w:hAnsi="Times New Roman"/>
                <w:color w:val="auto"/>
                <w:highlight w:val="none"/>
              </w:rPr>
              <w:t>租户或业主</w:t>
            </w:r>
            <w:r>
              <w:rPr>
                <w:rFonts w:ascii="Times New Roman" w:hAnsi="Times New Roman"/>
                <w:color w:val="auto"/>
                <w:highlight w:val="none"/>
              </w:rPr>
              <w:t>不懂得使用场所内灭火器材的，扣</w:t>
            </w:r>
            <w:r>
              <w:rPr>
                <w:rFonts w:hint="default" w:ascii="Times New Roman" w:hAnsi="Times New Roman"/>
                <w:color w:val="auto"/>
                <w:highlight w:val="none"/>
              </w:rPr>
              <w:t>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随机让至少1</w:t>
            </w:r>
            <w:r>
              <w:rPr>
                <w:rFonts w:hint="default" w:ascii="Times New Roman" w:hAnsi="Times New Roman"/>
                <w:color w:val="auto"/>
                <w:highlight w:val="none"/>
              </w:rPr>
              <w:t>人操作</w:t>
            </w:r>
          </w:p>
        </w:tc>
        <w:tc>
          <w:tcPr>
            <w:tcW w:w="1561"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401" w:type="dxa"/>
            <w:vMerge w:val="continue"/>
            <w:noWrap w:val="0"/>
            <w:vAlign w:val="center"/>
          </w:tcPr>
          <w:p>
            <w:pPr>
              <w:spacing w:line="300" w:lineRule="exact"/>
              <w:ind w:right="-107"/>
              <w:rPr>
                <w:rFonts w:ascii="Times New Roman" w:hAnsi="Times New Roman" w:eastAsia="仿宋_GB2312"/>
                <w:bCs/>
                <w:color w:val="auto"/>
                <w:sz w:val="24"/>
                <w:highlight w:val="none"/>
              </w:rPr>
            </w:pPr>
          </w:p>
        </w:tc>
        <w:tc>
          <w:tcPr>
            <w:tcW w:w="2854" w:type="dxa"/>
            <w:noWrap w:val="0"/>
            <w:vAlign w:val="center"/>
          </w:tcPr>
          <w:p>
            <w:pPr>
              <w:spacing w:line="320" w:lineRule="exact"/>
              <w:jc w:val="left"/>
              <w:rPr>
                <w:rFonts w:ascii="Times New Roman" w:hAnsi="Times New Roman"/>
                <w:color w:val="auto"/>
                <w:szCs w:val="21"/>
                <w:highlight w:val="none"/>
              </w:rPr>
            </w:pPr>
            <w:r>
              <w:rPr>
                <w:rFonts w:ascii="Times New Roman" w:hAnsi="Times New Roman"/>
                <w:color w:val="auto"/>
                <w:szCs w:val="21"/>
                <w:highlight w:val="none"/>
              </w:rPr>
              <w:t>1</w:t>
            </w:r>
            <w:r>
              <w:rPr>
                <w:rFonts w:hint="default" w:ascii="Times New Roman" w:hAnsi="Times New Roman"/>
                <w:color w:val="auto"/>
                <w:szCs w:val="21"/>
                <w:highlight w:val="none"/>
                <w:lang w:val="en-US" w:eastAsia="zh-CN"/>
              </w:rPr>
              <w:t>6</w:t>
            </w:r>
            <w:r>
              <w:rPr>
                <w:rFonts w:ascii="Times New Roman" w:hAnsi="Times New Roman"/>
                <w:color w:val="auto"/>
                <w:szCs w:val="21"/>
                <w:highlight w:val="none"/>
              </w:rPr>
              <w:t>.</w:t>
            </w:r>
            <w:r>
              <w:rPr>
                <w:rFonts w:hint="default" w:ascii="Times New Roman" w:hAnsi="Times New Roman"/>
                <w:color w:val="auto"/>
                <w:szCs w:val="21"/>
                <w:highlight w:val="none"/>
              </w:rPr>
              <w:t>租户或业主</w:t>
            </w:r>
            <w:r>
              <w:rPr>
                <w:rFonts w:ascii="Times New Roman" w:hAnsi="Times New Roman"/>
                <w:color w:val="auto"/>
                <w:szCs w:val="21"/>
                <w:highlight w:val="none"/>
              </w:rPr>
              <w:t>掌握火场逃生自救基本技能，熟悉逃生路线和引导人员疏散程序</w:t>
            </w:r>
          </w:p>
        </w:tc>
        <w:tc>
          <w:tcPr>
            <w:tcW w:w="652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9</w:t>
            </w:r>
            <w:r>
              <w:rPr>
                <w:rFonts w:ascii="Times New Roman" w:hAnsi="Times New Roman"/>
                <w:color w:val="auto"/>
                <w:highlight w:val="none"/>
              </w:rPr>
              <w:t>.</w:t>
            </w:r>
            <w:r>
              <w:rPr>
                <w:rFonts w:hint="default" w:ascii="Times New Roman" w:hAnsi="Times New Roman"/>
                <w:color w:val="auto"/>
                <w:highlight w:val="none"/>
              </w:rPr>
              <w:t>租户或业主</w:t>
            </w:r>
            <w:r>
              <w:rPr>
                <w:rFonts w:ascii="Times New Roman" w:hAnsi="Times New Roman"/>
                <w:color w:val="auto"/>
                <w:highlight w:val="none"/>
              </w:rPr>
              <w:t>不掌握逃生自救、疏散技能的，扣</w:t>
            </w:r>
            <w:r>
              <w:rPr>
                <w:rFonts w:hint="default" w:ascii="Times New Roman" w:hAnsi="Times New Roman"/>
                <w:color w:val="auto"/>
                <w:highlight w:val="none"/>
              </w:rPr>
              <w:t>5</w:t>
            </w:r>
            <w:r>
              <w:rPr>
                <w:rFonts w:ascii="Times New Roman" w:hAnsi="Times New Roman"/>
                <w:color w:val="auto"/>
                <w:highlight w:val="none"/>
              </w:rPr>
              <w:t>分。</w:t>
            </w:r>
          </w:p>
        </w:tc>
        <w:tc>
          <w:tcPr>
            <w:tcW w:w="1635"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随机提问至少1</w:t>
            </w:r>
            <w:r>
              <w:rPr>
                <w:rFonts w:hint="default" w:ascii="Times New Roman" w:hAnsi="Times New Roman"/>
                <w:color w:val="auto"/>
                <w:highlight w:val="none"/>
              </w:rPr>
              <w:t>人</w:t>
            </w:r>
          </w:p>
        </w:tc>
        <w:tc>
          <w:tcPr>
            <w:tcW w:w="1561" w:type="dxa"/>
            <w:noWrap w:val="0"/>
            <w:vAlign w:val="center"/>
          </w:tcPr>
          <w:p>
            <w:pPr>
              <w:spacing w:line="320" w:lineRule="exact"/>
              <w:jc w:val="left"/>
              <w:rPr>
                <w:rFonts w:ascii="Times New Roman" w:hAnsi="Times New Roman"/>
                <w:color w:val="auto"/>
                <w:highlight w:val="none"/>
              </w:rPr>
            </w:pPr>
          </w:p>
        </w:tc>
      </w:tr>
    </w:tbl>
    <w:p>
      <w:pPr>
        <w:pStyle w:val="8"/>
        <w:jc w:val="center"/>
        <w:rPr>
          <w:rFonts w:ascii="Times New Roman" w:hAnsi="Times New Roman"/>
          <w:color w:val="auto"/>
          <w:highlight w:val="none"/>
        </w:rPr>
      </w:pPr>
      <w:r>
        <w:rPr>
          <w:rFonts w:ascii="Times New Roman" w:hAnsi="Times New Roman"/>
          <w:color w:val="auto"/>
          <w:highlight w:val="none"/>
        </w:rPr>
        <w:br w:type="page"/>
      </w:r>
      <w:r>
        <w:rPr>
          <w:rFonts w:ascii="Times New Roman" w:hAnsi="Times New Roman"/>
          <w:color w:val="auto"/>
          <w:highlight w:val="none"/>
        </w:rPr>
        <w:t>（</w:t>
      </w:r>
      <w:r>
        <w:rPr>
          <w:rFonts w:hint="default" w:ascii="Times New Roman" w:hAnsi="Times New Roman"/>
          <w:color w:val="auto"/>
          <w:highlight w:val="none"/>
        </w:rPr>
        <w:t>三</w:t>
      </w:r>
      <w:r>
        <w:rPr>
          <w:rFonts w:ascii="Times New Roman" w:hAnsi="Times New Roman"/>
          <w:color w:val="auto"/>
          <w:highlight w:val="none"/>
        </w:rPr>
        <w:t>）</w:t>
      </w:r>
      <w:r>
        <w:rPr>
          <w:rFonts w:hint="default" w:ascii="Times New Roman" w:hAnsi="Times New Roman"/>
          <w:color w:val="auto"/>
          <w:highlight w:val="none"/>
        </w:rPr>
        <w:t>公共场所</w:t>
      </w:r>
      <w:r>
        <w:rPr>
          <w:rFonts w:ascii="Times New Roman" w:hAnsi="Times New Roman"/>
          <w:color w:val="auto"/>
          <w:highlight w:val="none"/>
        </w:rPr>
        <w:t>消防安全评估细则（100分）</w:t>
      </w:r>
    </w:p>
    <w:p>
      <w:pPr>
        <w:spacing w:line="320" w:lineRule="exact"/>
        <w:jc w:val="left"/>
        <w:rPr>
          <w:rFonts w:ascii="Times New Roman" w:hAnsi="Times New Roman" w:eastAsia="楷体_GB2312"/>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4491"/>
        <w:gridCol w:w="5500"/>
        <w:gridCol w:w="152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54"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检查项目</w:t>
            </w:r>
          </w:p>
        </w:tc>
        <w:tc>
          <w:tcPr>
            <w:tcW w:w="4491"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检查内容</w:t>
            </w:r>
          </w:p>
        </w:tc>
        <w:tc>
          <w:tcPr>
            <w:tcW w:w="5500"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检查标准</w:t>
            </w:r>
          </w:p>
        </w:tc>
        <w:tc>
          <w:tcPr>
            <w:tcW w:w="1527"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检查方法</w:t>
            </w:r>
          </w:p>
        </w:tc>
        <w:tc>
          <w:tcPr>
            <w:tcW w:w="1106"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消防安全</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职责</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w:t>
            </w:r>
            <w:r>
              <w:rPr>
                <w:rFonts w:ascii="Times New Roman" w:hAnsi="Times New Roman"/>
                <w:b/>
                <w:color w:val="auto"/>
                <w:kern w:val="0"/>
                <w:sz w:val="24"/>
                <w:highlight w:val="none"/>
              </w:rPr>
              <w:t>分）</w:t>
            </w: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ascii="Times New Roman" w:hAnsi="Times New Roman"/>
                <w:color w:val="auto"/>
                <w:highlight w:val="none"/>
              </w:rPr>
              <w:t>1.是否建立逐级消防安全责任制，明确单位消防安全管理人员</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1.未明确单位消防安全管理人员的，扣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2.未明确各级消防安全责任人及工作职责，扣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noWrap w:val="0"/>
            <w:vAlign w:val="center"/>
          </w:tcPr>
          <w:p>
            <w:pPr>
              <w:spacing w:line="320" w:lineRule="exact"/>
              <w:ind w:right="-107"/>
              <w:jc w:val="left"/>
              <w:rPr>
                <w:rFonts w:ascii="Times New Roman" w:hAnsi="Times New Roman"/>
                <w:color w:val="auto"/>
                <w:highlight w:val="none"/>
              </w:rPr>
            </w:pPr>
            <w:r>
              <w:rPr>
                <w:rFonts w:ascii="Times New Roman" w:hAnsi="Times New Roman"/>
                <w:color w:val="auto"/>
                <w:highlight w:val="none"/>
              </w:rPr>
              <w:t>2.是否制定符合本单位实际的消防安全制度</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3.未</w:t>
            </w:r>
            <w:r>
              <w:rPr>
                <w:rFonts w:hint="default" w:ascii="Times New Roman" w:hAnsi="Times New Roman"/>
                <w:color w:val="auto"/>
                <w:highlight w:val="none"/>
              </w:rPr>
              <w:t>建立或健全</w:t>
            </w:r>
            <w:r>
              <w:rPr>
                <w:rFonts w:ascii="Times New Roman" w:hAnsi="Times New Roman"/>
                <w:color w:val="auto"/>
                <w:highlight w:val="none"/>
              </w:rPr>
              <w:t>本单位消防安全制度的，扣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建筑防火</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及安全</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疏散</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30</w:t>
            </w:r>
            <w:r>
              <w:rPr>
                <w:rFonts w:ascii="Times New Roman" w:hAnsi="Times New Roman"/>
                <w:b/>
                <w:color w:val="auto"/>
                <w:kern w:val="0"/>
                <w:sz w:val="24"/>
                <w:highlight w:val="none"/>
              </w:rPr>
              <w:t>分)</w:t>
            </w:r>
          </w:p>
          <w:p>
            <w:pPr>
              <w:widowControl/>
              <w:jc w:val="center"/>
              <w:rPr>
                <w:rFonts w:ascii="Times New Roman" w:hAnsi="Times New Roman"/>
                <w:b/>
                <w:color w:val="auto"/>
                <w:kern w:val="0"/>
                <w:sz w:val="24"/>
                <w:highlight w:val="none"/>
              </w:rPr>
            </w:pPr>
          </w:p>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3.总平面布局、灭火救援设施</w:t>
            </w:r>
            <w:r>
              <w:rPr>
                <w:rFonts w:ascii="Times New Roman" w:hAnsi="Times New Roman"/>
                <w:color w:val="auto"/>
                <w:highlight w:val="none"/>
              </w:rPr>
              <w:t>是否符合要求</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ascii="Times New Roman" w:hAnsi="Times New Roman"/>
                <w:color w:val="auto"/>
                <w:highlight w:val="none"/>
              </w:rPr>
              <w:t>.存在防火间距被占用或不足的，扣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5</w:t>
            </w:r>
            <w:r>
              <w:rPr>
                <w:rFonts w:ascii="Times New Roman" w:hAnsi="Times New Roman"/>
                <w:color w:val="auto"/>
                <w:highlight w:val="none"/>
              </w:rPr>
              <w:t>.存在堵塞或占用消防车道</w:t>
            </w:r>
            <w:r>
              <w:rPr>
                <w:rFonts w:hint="default" w:ascii="Times New Roman" w:hAnsi="Times New Roman"/>
                <w:color w:val="auto"/>
                <w:highlight w:val="none"/>
              </w:rPr>
              <w:t>、救援场地</w:t>
            </w:r>
            <w:r>
              <w:rPr>
                <w:rFonts w:hint="default" w:ascii="Times New Roman" w:hAnsi="Times New Roman"/>
                <w:color w:val="auto"/>
                <w:highlight w:val="none"/>
                <w:lang w:val="en-US" w:eastAsia="zh-CN"/>
              </w:rPr>
              <w:t>或消防车道、救援场地未落实标识化管理的</w:t>
            </w:r>
            <w:r>
              <w:rPr>
                <w:rFonts w:ascii="Times New Roman" w:hAnsi="Times New Roman"/>
                <w:color w:val="auto"/>
                <w:highlight w:val="none"/>
              </w:rPr>
              <w:t>，扣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6</w:t>
            </w:r>
            <w:r>
              <w:rPr>
                <w:rFonts w:ascii="Times New Roman" w:hAnsi="Times New Roman"/>
                <w:color w:val="auto"/>
                <w:highlight w:val="none"/>
              </w:rPr>
              <w:t>.人员密集场所外墙门窗上设置影响逃生和灭火救援的障碍物的，扣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7.消防电梯设置不符合要求，扣5分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w:t>
            </w:r>
            <w:r>
              <w:rPr>
                <w:rFonts w:hint="default" w:ascii="Times New Roman" w:hAnsi="Times New Roman"/>
                <w:color w:val="auto"/>
                <w:highlight w:val="none"/>
              </w:rPr>
              <w:t>耐火等级、防火分区、平面布置是否符合要求</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8.</w:t>
            </w:r>
            <w:r>
              <w:rPr>
                <w:rFonts w:ascii="Times New Roman" w:hAnsi="Times New Roman"/>
                <w:color w:val="auto"/>
                <w:highlight w:val="none"/>
              </w:rPr>
              <w:t>建筑的耐火等级、防火分隔存在以下任意一种情形的扣</w:t>
            </w:r>
            <w:r>
              <w:rPr>
                <w:rFonts w:hint="default" w:ascii="Times New Roman" w:hAnsi="Times New Roman"/>
                <w:color w:val="auto"/>
                <w:highlight w:val="none"/>
              </w:rPr>
              <w:t>15</w:t>
            </w:r>
            <w:r>
              <w:rPr>
                <w:rFonts w:ascii="Times New Roman" w:hAnsi="Times New Roman"/>
                <w:color w:val="auto"/>
                <w:highlight w:val="none"/>
              </w:rPr>
              <w:t>分</w:t>
            </w:r>
            <w:r>
              <w:rPr>
                <w:rFonts w:hint="default" w:ascii="Times New Roman" w:hAnsi="Times New Roman"/>
                <w:color w:val="auto"/>
                <w:highlight w:val="none"/>
              </w:rPr>
              <w:t>：</w:t>
            </w:r>
          </w:p>
          <w:p>
            <w:pPr>
              <w:spacing w:line="320" w:lineRule="exact"/>
              <w:ind w:firstLine="105" w:firstLineChars="50"/>
              <w:jc w:val="left"/>
              <w:rPr>
                <w:rFonts w:ascii="Times New Roman" w:hAnsi="Times New Roman"/>
                <w:color w:val="auto"/>
                <w:highlight w:val="none"/>
              </w:rPr>
            </w:pPr>
            <w:r>
              <w:rPr>
                <w:rFonts w:ascii="Times New Roman" w:hAnsi="Times New Roman"/>
                <w:color w:val="auto"/>
                <w:highlight w:val="none"/>
              </w:rPr>
              <w:t>a建筑耐火等级不符合规范要求的；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w:t>
            </w:r>
            <w:r>
              <w:rPr>
                <w:rFonts w:ascii="Times New Roman" w:hAnsi="Times New Roman"/>
                <w:color w:val="auto"/>
                <w:highlight w:val="none"/>
              </w:rPr>
              <w:t>.</w:t>
            </w:r>
            <w:r>
              <w:rPr>
                <w:rFonts w:hint="default" w:ascii="Times New Roman" w:hAnsi="Times New Roman"/>
                <w:color w:val="auto"/>
                <w:highlight w:val="none"/>
              </w:rPr>
              <w:t>不同功能场所之间的防火分隔，或</w:t>
            </w:r>
            <w:r>
              <w:rPr>
                <w:rFonts w:ascii="Times New Roman" w:hAnsi="Times New Roman"/>
                <w:color w:val="auto"/>
                <w:highlight w:val="none"/>
              </w:rPr>
              <w:t>消防泵房、发电机房、锅炉房、变配电间、空调机房等</w:t>
            </w:r>
            <w:r>
              <w:rPr>
                <w:rFonts w:hint="default" w:ascii="Times New Roman" w:hAnsi="Times New Roman"/>
                <w:color w:val="auto"/>
                <w:highlight w:val="none"/>
              </w:rPr>
              <w:t>重点</w:t>
            </w:r>
            <w:r>
              <w:rPr>
                <w:rFonts w:ascii="Times New Roman" w:hAnsi="Times New Roman"/>
                <w:color w:val="auto"/>
                <w:highlight w:val="none"/>
              </w:rPr>
              <w:t>用房的防火分隔不符合规范要求的；</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9</w:t>
            </w:r>
            <w:r>
              <w:rPr>
                <w:rFonts w:ascii="Times New Roman" w:hAnsi="Times New Roman"/>
                <w:color w:val="auto"/>
                <w:highlight w:val="none"/>
              </w:rPr>
              <w:t>.防火分区或防火分隔设施存在以下任意一种情况的扣</w:t>
            </w:r>
            <w:r>
              <w:rPr>
                <w:rFonts w:hint="default" w:ascii="Times New Roman" w:hAnsi="Times New Roman"/>
                <w:color w:val="auto"/>
                <w:highlight w:val="none"/>
              </w:rPr>
              <w:t>10</w:t>
            </w:r>
            <w:r>
              <w:rPr>
                <w:rFonts w:ascii="Times New Roman" w:hAnsi="Times New Roman"/>
                <w:color w:val="auto"/>
                <w:highlight w:val="none"/>
              </w:rPr>
              <w:t>分：</w:t>
            </w:r>
          </w:p>
          <w:p>
            <w:pPr>
              <w:spacing w:line="320" w:lineRule="exact"/>
              <w:ind w:firstLine="105" w:firstLineChars="50"/>
              <w:jc w:val="left"/>
              <w:rPr>
                <w:rFonts w:ascii="Times New Roman" w:hAnsi="Times New Roman"/>
                <w:color w:val="auto"/>
                <w:highlight w:val="none"/>
              </w:rPr>
            </w:pPr>
            <w:r>
              <w:rPr>
                <w:rFonts w:ascii="Times New Roman" w:hAnsi="Times New Roman"/>
                <w:color w:val="auto"/>
                <w:highlight w:val="none"/>
              </w:rPr>
              <w:t>a.擅自改变防火分区或防火分区的设置不符合规范要求;</w:t>
            </w:r>
          </w:p>
          <w:p>
            <w:pPr>
              <w:spacing w:line="320" w:lineRule="exact"/>
              <w:ind w:firstLine="105" w:firstLineChars="50"/>
              <w:jc w:val="left"/>
              <w:rPr>
                <w:rFonts w:ascii="Times New Roman" w:hAnsi="Times New Roman"/>
                <w:color w:val="auto"/>
                <w:highlight w:val="none"/>
              </w:rPr>
            </w:pPr>
            <w:r>
              <w:rPr>
                <w:rFonts w:ascii="Times New Roman" w:hAnsi="Times New Roman"/>
                <w:color w:val="auto"/>
                <w:highlight w:val="none"/>
              </w:rPr>
              <w:t>b.拆除或改变防火分隔设施；</w:t>
            </w:r>
          </w:p>
          <w:p>
            <w:pPr>
              <w:spacing w:line="320" w:lineRule="exact"/>
              <w:ind w:firstLine="105" w:firstLineChars="50"/>
              <w:jc w:val="left"/>
              <w:rPr>
                <w:rFonts w:ascii="Times New Roman" w:hAnsi="Times New Roman"/>
                <w:color w:val="auto"/>
                <w:highlight w:val="none"/>
              </w:rPr>
            </w:pPr>
            <w:r>
              <w:rPr>
                <w:rFonts w:ascii="Times New Roman" w:hAnsi="Times New Roman"/>
                <w:color w:val="auto"/>
                <w:highlight w:val="none"/>
              </w:rPr>
              <w:t>c.防火分隔设施不能正常运行的（如损坏、被阻挡等）。</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10.平面布置存在以下任意一种情况的扣10分：</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a.儿童活动场所、老年人活动场所、医院、疗养院等场所等平面布置不符合规范要求；</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b.剧场、电影院、礼堂、观众厅、会议厅等场所平面布置不符合规范要求；</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c.歌舞娱乐放映游艺场所平面布置不符合规范要求；</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d.锅炉房、发电机房等设备用房平面布置不符合规范要求；</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e.其它场所平面布置不符合规范要求。</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11</w:t>
            </w:r>
            <w:r>
              <w:rPr>
                <w:rFonts w:ascii="Times New Roman" w:hAnsi="Times New Roman"/>
                <w:color w:val="auto"/>
                <w:highlight w:val="none"/>
              </w:rPr>
              <w:t>.经营</w:t>
            </w:r>
            <w:r>
              <w:rPr>
                <w:rFonts w:hint="default" w:ascii="Times New Roman" w:hAnsi="Times New Roman"/>
                <w:color w:val="auto"/>
                <w:highlight w:val="none"/>
              </w:rPr>
              <w:t>场所</w:t>
            </w:r>
            <w:r>
              <w:rPr>
                <w:rFonts w:ascii="Times New Roman" w:hAnsi="Times New Roman"/>
                <w:color w:val="auto"/>
                <w:highlight w:val="none"/>
              </w:rPr>
              <w:t>与居住场所设置在同一建筑物内，不符合消防技术标准的，扣</w:t>
            </w:r>
            <w:r>
              <w:rPr>
                <w:rFonts w:hint="default" w:ascii="Times New Roman" w:hAnsi="Times New Roman"/>
                <w:color w:val="auto"/>
                <w:highlight w:val="none"/>
              </w:rPr>
              <w:t>30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5.防火构造及室内装修是否符合规范要求</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12.防火构造（建筑构件、管道井、建筑保温、外墙装饰等）不符合规范要求的，扣10分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13</w:t>
            </w:r>
            <w:r>
              <w:rPr>
                <w:rFonts w:ascii="Times New Roman" w:hAnsi="Times New Roman"/>
                <w:color w:val="auto"/>
                <w:highlight w:val="none"/>
              </w:rPr>
              <w:t>.使用不符合消防技术标准的燃烧性能等级材料的，扣</w:t>
            </w:r>
            <w:r>
              <w:rPr>
                <w:rFonts w:hint="default" w:ascii="Times New Roman" w:hAnsi="Times New Roman"/>
                <w:color w:val="auto"/>
                <w:highlight w:val="none"/>
              </w:rPr>
              <w:t>5</w:t>
            </w:r>
            <w:r>
              <w:rPr>
                <w:rFonts w:ascii="Times New Roman" w:hAnsi="Times New Roman"/>
                <w:color w:val="auto"/>
                <w:highlight w:val="none"/>
              </w:rPr>
              <w:t>分；如属人员密集场所，使用易燃材料，不符合消防技术标准的，扣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6</w:t>
            </w:r>
            <w:r>
              <w:rPr>
                <w:rFonts w:ascii="Times New Roman" w:hAnsi="Times New Roman"/>
                <w:color w:val="auto"/>
                <w:highlight w:val="none"/>
              </w:rPr>
              <w:t xml:space="preserve">.安全疏散设施及管理是否符合要求 </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4</w:t>
            </w:r>
            <w:r>
              <w:rPr>
                <w:rFonts w:ascii="Times New Roman" w:hAnsi="Times New Roman"/>
                <w:color w:val="auto"/>
                <w:highlight w:val="none"/>
              </w:rPr>
              <w:t>.疏散通道、安全出口数量不足的，扣</w:t>
            </w:r>
            <w:r>
              <w:rPr>
                <w:rFonts w:hint="default" w:ascii="Times New Roman" w:hAnsi="Times New Roman"/>
                <w:color w:val="auto"/>
                <w:highlight w:val="none"/>
              </w:rPr>
              <w:t>15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b/>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5</w:t>
            </w:r>
            <w:r>
              <w:rPr>
                <w:rFonts w:ascii="Times New Roman" w:hAnsi="Times New Roman"/>
                <w:color w:val="auto"/>
                <w:highlight w:val="none"/>
              </w:rPr>
              <w:t>.疏散通道、安全出口的其他设置不符合消防技术标准的，扣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b/>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6</w:t>
            </w:r>
            <w:r>
              <w:rPr>
                <w:rFonts w:ascii="Times New Roman" w:hAnsi="Times New Roman"/>
                <w:color w:val="auto"/>
                <w:highlight w:val="none"/>
              </w:rPr>
              <w:t>.占用、堵塞、封闭疏散通道、安全出口的，扣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7</w:t>
            </w:r>
            <w:r>
              <w:rPr>
                <w:rFonts w:ascii="Times New Roman" w:hAnsi="Times New Roman"/>
                <w:color w:val="auto"/>
                <w:highlight w:val="none"/>
              </w:rPr>
              <w:t>.</w:t>
            </w:r>
            <w:r>
              <w:rPr>
                <w:rFonts w:hint="default" w:ascii="Times New Roman" w:hAnsi="Times New Roman"/>
                <w:color w:val="auto"/>
                <w:highlight w:val="none"/>
              </w:rPr>
              <w:t>疏散通道、安全出口的</w:t>
            </w:r>
            <w:r>
              <w:rPr>
                <w:rFonts w:ascii="Times New Roman" w:hAnsi="Times New Roman"/>
                <w:color w:val="auto"/>
                <w:highlight w:val="none"/>
              </w:rPr>
              <w:t>防火门未保持完好有效的，扣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r>
              <w:rPr>
                <w:rFonts w:hint="default" w:ascii="Times New Roman" w:hAnsi="Times New Roman"/>
                <w:b/>
                <w:color w:val="auto"/>
                <w:highlight w:val="none"/>
              </w:rPr>
              <w:t>计项不计量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ind w:firstLine="0"/>
              <w:jc w:val="left"/>
              <w:rPr>
                <w:rFonts w:ascii="Times New Roman" w:hAnsi="Times New Roman"/>
                <w:color w:val="auto"/>
                <w:highlight w:val="none"/>
              </w:rPr>
            </w:pPr>
            <w:r>
              <w:rPr>
                <w:rFonts w:hint="default" w:ascii="Times New Roman" w:hAnsi="Times New Roman"/>
                <w:color w:val="auto"/>
                <w:highlight w:val="none"/>
                <w:lang w:val="en-US" w:eastAsia="zh-CN"/>
              </w:rPr>
              <w:t>18</w:t>
            </w:r>
            <w:r>
              <w:rPr>
                <w:rFonts w:hint="default" w:ascii="Times New Roman" w:hAnsi="Times New Roman"/>
                <w:color w:val="auto"/>
                <w:highlight w:val="none"/>
              </w:rPr>
              <w:t>.内部公共区域、疏散走道和疏散楼梯间存在电动自行车违规停放或充电，发现一处扣5分，扣完10分为止。</w:t>
            </w:r>
          </w:p>
        </w:tc>
        <w:tc>
          <w:tcPr>
            <w:tcW w:w="1527" w:type="dxa"/>
            <w:noWrap w:val="0"/>
            <w:vAlign w:val="center"/>
          </w:tcPr>
          <w:p>
            <w:pPr>
              <w:spacing w:line="320" w:lineRule="exact"/>
              <w:jc w:val="center"/>
              <w:rPr>
                <w:rFonts w:ascii="Times New Roman" w:hAnsi="Times New Roman"/>
                <w:color w:val="auto"/>
                <w:highlight w:val="none"/>
              </w:rPr>
            </w:pPr>
          </w:p>
        </w:tc>
        <w:tc>
          <w:tcPr>
            <w:tcW w:w="1106" w:type="dxa"/>
            <w:noWrap w:val="0"/>
            <w:vAlign w:val="center"/>
          </w:tcPr>
          <w:p>
            <w:pPr>
              <w:spacing w:line="320" w:lineRule="exact"/>
              <w:jc w:val="left"/>
              <w:rPr>
                <w:rFonts w:hint="default"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rPr>
                <w:rFonts w:ascii="Times New Roman" w:hAnsi="Times New Roman"/>
                <w:b/>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9</w:t>
            </w:r>
            <w:r>
              <w:rPr>
                <w:rFonts w:ascii="Times New Roman" w:hAnsi="Times New Roman"/>
                <w:color w:val="auto"/>
                <w:highlight w:val="none"/>
              </w:rPr>
              <w:t>.消防应急照明灯、安全疏散指示标志不能正常工作或被遮挡的，扣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r>
              <w:rPr>
                <w:rFonts w:hint="default" w:ascii="Times New Roman" w:hAnsi="Times New Roman"/>
                <w:b/>
                <w:color w:val="auto"/>
                <w:highlight w:val="none"/>
              </w:rPr>
              <w:t>计项不计量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20</w:t>
            </w:r>
            <w:r>
              <w:rPr>
                <w:rFonts w:ascii="Times New Roman" w:hAnsi="Times New Roman"/>
                <w:color w:val="auto"/>
                <w:highlight w:val="none"/>
              </w:rPr>
              <w:t>.未在明显位置设置安全疏散指示图的，扣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消防设施器材</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30</w:t>
            </w:r>
            <w:r>
              <w:rPr>
                <w:rFonts w:ascii="Times New Roman" w:hAnsi="Times New Roman"/>
                <w:b/>
                <w:color w:val="auto"/>
                <w:kern w:val="0"/>
                <w:sz w:val="24"/>
                <w:highlight w:val="none"/>
              </w:rPr>
              <w:t>分）</w:t>
            </w: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7</w:t>
            </w:r>
            <w:r>
              <w:rPr>
                <w:rFonts w:ascii="Times New Roman" w:hAnsi="Times New Roman"/>
                <w:color w:val="auto"/>
                <w:highlight w:val="none"/>
              </w:rPr>
              <w:t>.消防设施是否完备好用</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1</w:t>
            </w:r>
            <w:r>
              <w:rPr>
                <w:rFonts w:ascii="Times New Roman" w:hAnsi="Times New Roman"/>
                <w:color w:val="auto"/>
                <w:highlight w:val="none"/>
              </w:rPr>
              <w:t>.存在</w:t>
            </w:r>
            <w:r>
              <w:rPr>
                <w:rFonts w:hint="default" w:ascii="Times New Roman" w:hAnsi="Times New Roman"/>
                <w:color w:val="auto"/>
                <w:highlight w:val="none"/>
              </w:rPr>
              <w:t>以下</w:t>
            </w:r>
            <w:r>
              <w:rPr>
                <w:rFonts w:ascii="Times New Roman" w:hAnsi="Times New Roman"/>
                <w:color w:val="auto"/>
                <w:highlight w:val="none"/>
              </w:rPr>
              <w:t>应设而未设消防设施</w:t>
            </w:r>
            <w:r>
              <w:rPr>
                <w:rFonts w:hint="default" w:ascii="Times New Roman" w:hAnsi="Times New Roman"/>
                <w:color w:val="auto"/>
                <w:highlight w:val="none"/>
              </w:rPr>
              <w:t>或已设置但不能正常运行的，</w:t>
            </w:r>
            <w:r>
              <w:rPr>
                <w:rFonts w:ascii="Times New Roman" w:hAnsi="Times New Roman"/>
                <w:color w:val="auto"/>
                <w:highlight w:val="none"/>
              </w:rPr>
              <w:t>每发现一项扣</w:t>
            </w:r>
            <w:r>
              <w:rPr>
                <w:rFonts w:hint="default" w:ascii="Times New Roman" w:hAnsi="Times New Roman"/>
                <w:color w:val="auto"/>
                <w:highlight w:val="none"/>
              </w:rPr>
              <w:t>10</w:t>
            </w:r>
            <w:r>
              <w:rPr>
                <w:rFonts w:ascii="Times New Roman" w:hAnsi="Times New Roman"/>
                <w:color w:val="auto"/>
                <w:highlight w:val="none"/>
              </w:rPr>
              <w:t>分。</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a.未按规范要求设置消防给水及消火栓系统或已设置但不能正常运行的；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b.未按规范要求设置火灾自动报警系统或已设置但不能正常运行的；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c.未按规范要求设置自动灭火系统或已设置但不能正常运行的；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d.未按规范要求设置防、排烟设施或已设置但不能正常运行的；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e.未按规范要求设置灭火器或已设置但未保持完好有效的。</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p>
            <w:pPr>
              <w:spacing w:line="320" w:lineRule="exact"/>
              <w:jc w:val="center"/>
              <w:rPr>
                <w:rFonts w:ascii="Times New Roman" w:hAnsi="Times New Roman"/>
                <w:color w:val="auto"/>
                <w:highlight w:val="none"/>
              </w:rPr>
            </w:pPr>
            <w:r>
              <w:rPr>
                <w:rFonts w:hint="default" w:ascii="Times New Roman" w:hAnsi="Times New Roman"/>
                <w:color w:val="auto"/>
                <w:highlight w:val="none"/>
              </w:rPr>
              <w:t>测试消防设施</w:t>
            </w:r>
          </w:p>
        </w:tc>
        <w:tc>
          <w:tcPr>
            <w:tcW w:w="1106" w:type="dxa"/>
            <w:noWrap w:val="0"/>
            <w:vAlign w:val="center"/>
          </w:tcPr>
          <w:p>
            <w:pPr>
              <w:spacing w:line="32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2</w:t>
            </w:r>
            <w:r>
              <w:rPr>
                <w:rFonts w:ascii="Times New Roman" w:hAnsi="Times New Roman"/>
                <w:color w:val="auto"/>
                <w:highlight w:val="none"/>
              </w:rPr>
              <w:t>.消防设施器材的其他设置不符合消防技术标准的，每发现一项扣</w:t>
            </w:r>
            <w:r>
              <w:rPr>
                <w:rFonts w:hint="default" w:ascii="Times New Roman" w:hAnsi="Times New Roman"/>
                <w:color w:val="auto"/>
                <w:highlight w:val="none"/>
              </w:rPr>
              <w:t>5</w:t>
            </w:r>
            <w:r>
              <w:rPr>
                <w:rFonts w:ascii="Times New Roman" w:hAnsi="Times New Roman"/>
                <w:color w:val="auto"/>
                <w:highlight w:val="none"/>
              </w:rPr>
              <w:t>分</w:t>
            </w:r>
            <w:r>
              <w:rPr>
                <w:rFonts w:hint="default" w:ascii="Times New Roman" w:hAnsi="Times New Roman"/>
                <w:color w:val="auto"/>
                <w:highlight w:val="none"/>
              </w:rPr>
              <w:t>，共10分扣完为止</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3</w:t>
            </w:r>
            <w:r>
              <w:rPr>
                <w:rFonts w:ascii="Times New Roman" w:hAnsi="Times New Roman"/>
                <w:color w:val="auto"/>
                <w:highlight w:val="none"/>
              </w:rPr>
              <w:t>未确定自动消防设施维护保养单位的，扣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w:t>
            </w:r>
            <w:r>
              <w:rPr>
                <w:rFonts w:hint="default" w:ascii="Times New Roman" w:hAnsi="Times New Roman"/>
                <w:color w:val="auto"/>
                <w:highlight w:val="none"/>
                <w:lang w:val="en-US" w:eastAsia="zh-CN"/>
              </w:rPr>
              <w:t>4</w:t>
            </w:r>
            <w:r>
              <w:rPr>
                <w:rFonts w:ascii="Times New Roman" w:hAnsi="Times New Roman"/>
                <w:color w:val="auto"/>
                <w:highlight w:val="none"/>
              </w:rPr>
              <w:t>.未每月开展消防设施维护保养的，扣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w:t>
            </w:r>
            <w:r>
              <w:rPr>
                <w:rFonts w:hint="default" w:ascii="Times New Roman" w:hAnsi="Times New Roman"/>
                <w:color w:val="auto"/>
                <w:highlight w:val="none"/>
                <w:lang w:val="en-US" w:eastAsia="zh-CN"/>
              </w:rPr>
              <w:t>5</w:t>
            </w:r>
            <w:r>
              <w:rPr>
                <w:rFonts w:ascii="Times New Roman" w:hAnsi="Times New Roman"/>
                <w:color w:val="auto"/>
                <w:highlight w:val="none"/>
              </w:rPr>
              <w:t>.消防设施被遮挡、圈占、埋压的，</w:t>
            </w:r>
            <w:r>
              <w:rPr>
                <w:rFonts w:hint="default" w:ascii="Times New Roman" w:hAnsi="Times New Roman"/>
                <w:color w:val="auto"/>
                <w:highlight w:val="none"/>
              </w:rPr>
              <w:t>每发现一处</w:t>
            </w:r>
            <w:r>
              <w:rPr>
                <w:rFonts w:ascii="Times New Roman" w:hAnsi="Times New Roman"/>
                <w:color w:val="auto"/>
                <w:highlight w:val="none"/>
              </w:rPr>
              <w:t>扣</w:t>
            </w:r>
            <w:r>
              <w:rPr>
                <w:rFonts w:hint="default" w:ascii="Times New Roman" w:hAnsi="Times New Roman"/>
                <w:color w:val="auto"/>
                <w:highlight w:val="none"/>
              </w:rPr>
              <w:t>5</w:t>
            </w:r>
            <w:r>
              <w:rPr>
                <w:rFonts w:ascii="Times New Roman" w:hAnsi="Times New Roman"/>
                <w:color w:val="auto"/>
                <w:highlight w:val="none"/>
              </w:rPr>
              <w:t>分</w:t>
            </w:r>
            <w:r>
              <w:rPr>
                <w:rFonts w:hint="default" w:ascii="Times New Roman" w:hAnsi="Times New Roman"/>
                <w:color w:val="auto"/>
                <w:highlight w:val="none"/>
              </w:rPr>
              <w:t>，共10分扣完为止</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消防控制室</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w:t>
            </w:r>
            <w:r>
              <w:rPr>
                <w:rFonts w:ascii="Times New Roman" w:hAnsi="Times New Roman"/>
                <w:b/>
                <w:color w:val="auto"/>
                <w:kern w:val="0"/>
                <w:sz w:val="24"/>
                <w:highlight w:val="none"/>
              </w:rPr>
              <w:t>分)</w:t>
            </w: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8</w:t>
            </w:r>
            <w:r>
              <w:rPr>
                <w:rFonts w:ascii="Times New Roman" w:hAnsi="Times New Roman"/>
                <w:color w:val="auto"/>
                <w:highlight w:val="none"/>
              </w:rPr>
              <w:t>.消防控制室的管理是否符合要求</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w:t>
            </w:r>
            <w:r>
              <w:rPr>
                <w:rFonts w:hint="default" w:ascii="Times New Roman" w:hAnsi="Times New Roman"/>
                <w:color w:val="auto"/>
                <w:highlight w:val="none"/>
                <w:lang w:val="en-US" w:eastAsia="zh-CN"/>
              </w:rPr>
              <w:t>6</w:t>
            </w:r>
            <w:r>
              <w:rPr>
                <w:rFonts w:ascii="Times New Roman" w:hAnsi="Times New Roman"/>
                <w:color w:val="auto"/>
                <w:highlight w:val="none"/>
              </w:rPr>
              <w:t>.消防控制室的设置不符合消防技术标准的，扣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w:t>
            </w:r>
            <w:r>
              <w:rPr>
                <w:rFonts w:hint="default" w:ascii="Times New Roman" w:hAnsi="Times New Roman"/>
                <w:color w:val="auto"/>
                <w:highlight w:val="none"/>
                <w:lang w:val="en-US" w:eastAsia="zh-CN"/>
              </w:rPr>
              <w:t>7</w:t>
            </w:r>
            <w:r>
              <w:rPr>
                <w:rFonts w:ascii="Times New Roman" w:hAnsi="Times New Roman"/>
                <w:color w:val="auto"/>
                <w:highlight w:val="none"/>
              </w:rPr>
              <w:t>.消防控制室未落实双人值班的，扣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w:t>
            </w:r>
            <w:r>
              <w:rPr>
                <w:rFonts w:hint="default" w:ascii="Times New Roman" w:hAnsi="Times New Roman"/>
                <w:color w:val="auto"/>
                <w:highlight w:val="none"/>
                <w:lang w:val="en-US" w:eastAsia="zh-CN"/>
              </w:rPr>
              <w:t>8</w:t>
            </w:r>
            <w:r>
              <w:rPr>
                <w:rFonts w:ascii="Times New Roman" w:hAnsi="Times New Roman"/>
                <w:color w:val="auto"/>
                <w:highlight w:val="none"/>
              </w:rPr>
              <w:t>.消防控制室值班记录不齐全的，扣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9</w:t>
            </w:r>
            <w:r>
              <w:rPr>
                <w:rFonts w:ascii="Times New Roman" w:hAnsi="Times New Roman"/>
                <w:color w:val="auto"/>
                <w:highlight w:val="none"/>
              </w:rPr>
              <w:t>.消防控制室值班人员未持证上岗的，扣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30</w:t>
            </w:r>
            <w:r>
              <w:rPr>
                <w:rFonts w:ascii="Times New Roman" w:hAnsi="Times New Roman"/>
                <w:color w:val="auto"/>
                <w:highlight w:val="none"/>
              </w:rPr>
              <w:t>.消防控制室值班人员处置程序不熟悉的，扣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随机提问1名值班人员</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1</w:t>
            </w:r>
            <w:r>
              <w:rPr>
                <w:rFonts w:ascii="Times New Roman" w:hAnsi="Times New Roman"/>
                <w:color w:val="auto"/>
                <w:highlight w:val="none"/>
              </w:rPr>
              <w:t>.未建立、悬挂《消防控制室管理制度》、《消防控制室值班人员职责》、《火灾接警处警程序》、《消防控制室管理及应急程序》的，扣</w:t>
            </w:r>
            <w:r>
              <w:rPr>
                <w:rFonts w:hint="default" w:ascii="Times New Roman" w:hAnsi="Times New Roman"/>
                <w:color w:val="auto"/>
                <w:highlight w:val="none"/>
              </w:rPr>
              <w:t>1</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2</w:t>
            </w:r>
            <w:r>
              <w:rPr>
                <w:rFonts w:ascii="Times New Roman" w:hAnsi="Times New Roman"/>
                <w:color w:val="auto"/>
                <w:highlight w:val="none"/>
              </w:rPr>
              <w:t>.未按照《消防控制室通用技术要求》4.1条规定保存有关消防工作的纸质或电子档案资料的，扣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4"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用火用电</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10</w:t>
            </w:r>
            <w:r>
              <w:rPr>
                <w:rFonts w:ascii="Times New Roman" w:hAnsi="Times New Roman"/>
                <w:b/>
                <w:color w:val="auto"/>
                <w:kern w:val="0"/>
                <w:sz w:val="24"/>
                <w:highlight w:val="none"/>
              </w:rPr>
              <w:t>分)</w:t>
            </w:r>
          </w:p>
        </w:tc>
        <w:tc>
          <w:tcPr>
            <w:tcW w:w="449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9</w:t>
            </w:r>
            <w:r>
              <w:rPr>
                <w:rFonts w:ascii="Times New Roman" w:hAnsi="Times New Roman"/>
                <w:color w:val="auto"/>
                <w:highlight w:val="none"/>
              </w:rPr>
              <w:t>.电气</w:t>
            </w:r>
            <w:r>
              <w:rPr>
                <w:rFonts w:hint="default" w:ascii="Times New Roman" w:hAnsi="Times New Roman"/>
                <w:color w:val="auto"/>
                <w:highlight w:val="none"/>
              </w:rPr>
              <w:t>防火</w:t>
            </w:r>
            <w:r>
              <w:rPr>
                <w:rFonts w:ascii="Times New Roman" w:hAnsi="Times New Roman"/>
                <w:color w:val="auto"/>
                <w:highlight w:val="none"/>
              </w:rPr>
              <w:t>是否符合要求</w:t>
            </w:r>
          </w:p>
        </w:tc>
        <w:tc>
          <w:tcPr>
            <w:tcW w:w="5500" w:type="dxa"/>
            <w:noWrap w:val="0"/>
            <w:vAlign w:val="center"/>
          </w:tcPr>
          <w:p>
            <w:pPr>
              <w:spacing w:line="320" w:lineRule="exact"/>
              <w:jc w:val="left"/>
              <w:rPr>
                <w:rFonts w:hint="default" w:ascii="Times New Roman" w:hAnsi="Times New Roman"/>
                <w:color w:val="auto"/>
                <w:highlight w:val="none"/>
              </w:rPr>
            </w:pPr>
            <w:r>
              <w:rPr>
                <w:rFonts w:ascii="Times New Roman" w:hAnsi="Times New Roman"/>
                <w:color w:val="auto"/>
                <w:highlight w:val="none"/>
              </w:rPr>
              <w:t>3</w:t>
            </w:r>
            <w:r>
              <w:rPr>
                <w:rFonts w:hint="default" w:ascii="Times New Roman" w:hAnsi="Times New Roman"/>
                <w:color w:val="auto"/>
                <w:highlight w:val="none"/>
                <w:lang w:val="en-US" w:eastAsia="zh-CN"/>
              </w:rPr>
              <w:t>3</w:t>
            </w:r>
            <w:r>
              <w:rPr>
                <w:rFonts w:ascii="Times New Roman" w:hAnsi="Times New Roman"/>
                <w:color w:val="auto"/>
                <w:highlight w:val="none"/>
              </w:rPr>
              <w:t>.</w:t>
            </w:r>
            <w:r>
              <w:rPr>
                <w:rFonts w:hint="default" w:ascii="Times New Roman" w:hAnsi="Times New Roman"/>
                <w:color w:val="auto"/>
                <w:highlight w:val="none"/>
              </w:rPr>
              <w:t>电气线路敷设、电气设备使用不规范，存在以下情形之一的，扣10分:</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a电器设备超负荷使用；</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b用铜丝、铁丝等代替保险丝；</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c电热炉、电加热器、电暖器、电饭锅、电熨斗、电热毯等电热器具使用后未采取拔出电源插销等切断电源的措施；</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d对产生高温或使用明火的设备，未限制周围可燃物或使用期间未设专人监护；</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e未安装新型防短路、防过载、防电弧断路保护开关并选用合格电气产品的；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F属于消防安全重点单位未安装智慧用电探测装置、传输终端和监测平台的；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g供、用电线路未根据国家电气技术标准，采取穿金属管、封闭式金属线槽或者绝缘阻燃PVC电工套管保护措施的；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h强电线路未按规定使用阻燃电缆或电气线路违规使用易燃电线电缆的；</w:t>
            </w:r>
          </w:p>
          <w:p>
            <w:pPr>
              <w:spacing w:line="320" w:lineRule="exact"/>
              <w:jc w:val="left"/>
              <w:rPr>
                <w:rFonts w:hint="default" w:ascii="Times New Roman" w:hAnsi="Times New Roman"/>
                <w:color w:val="auto"/>
                <w:kern w:val="2"/>
                <w:sz w:val="21"/>
                <w:szCs w:val="22"/>
                <w:highlight w:val="none"/>
              </w:rPr>
            </w:pPr>
            <w:r>
              <w:rPr>
                <w:rFonts w:hint="default" w:ascii="Times New Roman" w:hAnsi="Times New Roman"/>
                <w:color w:val="auto"/>
                <w:highlight w:val="none"/>
              </w:rPr>
              <w:t>i开关、电闸、配电箱未使用符合国家市场准入电气产品的；</w:t>
            </w:r>
            <w:r>
              <w:rPr>
                <w:rFonts w:hint="default" w:ascii="Times New Roman" w:hAnsi="Times New Roman"/>
                <w:color w:val="auto"/>
                <w:highlight w:val="none"/>
                <w:lang w:val="en-US" w:eastAsia="zh-CN"/>
              </w:rPr>
              <w:t>j</w:t>
            </w:r>
            <w:r>
              <w:rPr>
                <w:rFonts w:hint="default" w:ascii="Times New Roman" w:hAnsi="Times New Roman"/>
                <w:color w:val="auto"/>
                <w:kern w:val="2"/>
                <w:sz w:val="21"/>
                <w:szCs w:val="22"/>
                <w:highlight w:val="none"/>
              </w:rPr>
              <w:t>私拉电线、乱装插座为电动自行车充电</w:t>
            </w:r>
            <w:r>
              <w:rPr>
                <w:rFonts w:hint="default" w:ascii="Times New Roman" w:hAnsi="Times New Roman"/>
                <w:color w:val="auto"/>
                <w:kern w:val="2"/>
                <w:sz w:val="21"/>
                <w:szCs w:val="22"/>
                <w:highlight w:val="none"/>
                <w:lang w:val="en-US" w:eastAsia="zh-CN"/>
              </w:rPr>
              <w:t>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k</w:t>
            </w:r>
            <w:r>
              <w:rPr>
                <w:rFonts w:hint="default" w:ascii="Times New Roman" w:hAnsi="Times New Roman"/>
                <w:color w:val="auto"/>
                <w:highlight w:val="none"/>
              </w:rPr>
              <w:t>未聘请具备资质的电气检测服务机构实施线路检测，落实电气线路年度全面检测和日常维护保养，并及时更换老化损坏的电气线路的；</w:t>
            </w:r>
          </w:p>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l</w:t>
            </w:r>
            <w:r>
              <w:rPr>
                <w:rFonts w:hint="default" w:ascii="Times New Roman" w:hAnsi="Times New Roman"/>
                <w:color w:val="auto"/>
                <w:highlight w:val="none"/>
              </w:rPr>
              <w:t>存在其他不符合广东省地方标准《建筑电气防火检测技术规程》（DBJ/T 15—123—2018）具体要求的问题。</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10</w:t>
            </w:r>
            <w:r>
              <w:rPr>
                <w:rFonts w:ascii="Times New Roman" w:hAnsi="Times New Roman"/>
                <w:color w:val="auto"/>
                <w:highlight w:val="none"/>
              </w:rPr>
              <w:t>.用火、动火是否符合要求</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3</w:t>
            </w:r>
            <w:r>
              <w:rPr>
                <w:rFonts w:hint="default" w:ascii="Times New Roman" w:hAnsi="Times New Roman"/>
                <w:color w:val="auto"/>
                <w:highlight w:val="none"/>
                <w:lang w:val="en-US" w:eastAsia="zh-CN"/>
              </w:rPr>
              <w:t>4</w:t>
            </w:r>
            <w:r>
              <w:rPr>
                <w:rFonts w:ascii="Times New Roman" w:hAnsi="Times New Roman"/>
                <w:color w:val="auto"/>
                <w:highlight w:val="none"/>
              </w:rPr>
              <w:t>.发现违规使用明火、易燃易爆危险物品的，扣1</w:t>
            </w:r>
            <w:r>
              <w:rPr>
                <w:rFonts w:hint="default" w:ascii="Times New Roman" w:hAnsi="Times New Roman"/>
                <w:color w:val="auto"/>
                <w:highlight w:val="none"/>
              </w:rPr>
              <w:t>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防火检查和巡查</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w:t>
            </w:r>
            <w:r>
              <w:rPr>
                <w:rFonts w:ascii="Times New Roman" w:hAnsi="Times New Roman"/>
                <w:b/>
                <w:color w:val="auto"/>
                <w:kern w:val="0"/>
                <w:sz w:val="24"/>
                <w:highlight w:val="none"/>
              </w:rPr>
              <w:t>分)</w:t>
            </w:r>
          </w:p>
        </w:tc>
        <w:tc>
          <w:tcPr>
            <w:tcW w:w="4491" w:type="dxa"/>
            <w:vMerge w:val="restart"/>
            <w:noWrap w:val="0"/>
            <w:vAlign w:val="center"/>
          </w:tcPr>
          <w:p>
            <w:pPr>
              <w:spacing w:line="240" w:lineRule="exact"/>
              <w:jc w:val="left"/>
              <w:rPr>
                <w:rFonts w:ascii="Times New Roman" w:hAnsi="Times New Roman"/>
                <w:color w:val="auto"/>
                <w:highlight w:val="none"/>
              </w:rPr>
            </w:pPr>
            <w:r>
              <w:rPr>
                <w:rFonts w:hint="default" w:ascii="Times New Roman" w:hAnsi="Times New Roman"/>
                <w:color w:val="auto"/>
                <w:highlight w:val="none"/>
              </w:rPr>
              <w:t>11</w:t>
            </w:r>
            <w:r>
              <w:rPr>
                <w:rFonts w:ascii="Times New Roman" w:hAnsi="Times New Roman"/>
                <w:color w:val="auto"/>
                <w:highlight w:val="none"/>
              </w:rPr>
              <w:t>.是否每日开展防火巡查，每月开展至少一次防火检查。公众聚集场所营业期间防火巡查每两小时至少一次，医院、养老院、寄宿制的学校、托儿所、幼儿园应当开展每日不少于2次的夜间防火巡查。</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3</w:t>
            </w:r>
            <w:r>
              <w:rPr>
                <w:rFonts w:hint="default" w:ascii="Times New Roman" w:hAnsi="Times New Roman"/>
                <w:color w:val="auto"/>
                <w:highlight w:val="none"/>
                <w:lang w:val="en-US" w:eastAsia="zh-CN"/>
              </w:rPr>
              <w:t>5</w:t>
            </w:r>
            <w:r>
              <w:rPr>
                <w:rFonts w:ascii="Times New Roman" w:hAnsi="Times New Roman"/>
                <w:color w:val="auto"/>
                <w:highlight w:val="none"/>
              </w:rPr>
              <w:t>.未按要求每日组织开展每日防火巡查的，扣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3</w:t>
            </w:r>
            <w:r>
              <w:rPr>
                <w:rFonts w:hint="default" w:ascii="Times New Roman" w:hAnsi="Times New Roman"/>
                <w:color w:val="auto"/>
                <w:highlight w:val="none"/>
                <w:lang w:val="en-US" w:eastAsia="zh-CN"/>
              </w:rPr>
              <w:t>6</w:t>
            </w:r>
            <w:r>
              <w:rPr>
                <w:rFonts w:ascii="Times New Roman" w:hAnsi="Times New Roman"/>
                <w:color w:val="auto"/>
                <w:highlight w:val="none"/>
              </w:rPr>
              <w:t>.未按要求每月组织开展防火检查的，扣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3</w:t>
            </w:r>
            <w:r>
              <w:rPr>
                <w:rFonts w:hint="default" w:ascii="Times New Roman" w:hAnsi="Times New Roman"/>
                <w:color w:val="auto"/>
                <w:highlight w:val="none"/>
                <w:lang w:val="en-US" w:eastAsia="zh-CN"/>
              </w:rPr>
              <w:t>7</w:t>
            </w:r>
            <w:r>
              <w:rPr>
                <w:rFonts w:ascii="Times New Roman" w:hAnsi="Times New Roman"/>
                <w:color w:val="auto"/>
                <w:highlight w:val="none"/>
              </w:rPr>
              <w:t>.防火巡查、检查记录不齐全或填写不规范的，扣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火灾事故应急处置准备工作</w:t>
            </w:r>
          </w:p>
          <w:p>
            <w:pPr>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w:t>
            </w:r>
            <w:r>
              <w:rPr>
                <w:rFonts w:ascii="Times New Roman" w:hAnsi="Times New Roman"/>
                <w:b/>
                <w:color w:val="auto"/>
                <w:kern w:val="0"/>
                <w:sz w:val="24"/>
                <w:highlight w:val="none"/>
              </w:rPr>
              <w:t>分）</w:t>
            </w:r>
          </w:p>
        </w:tc>
        <w:tc>
          <w:tcPr>
            <w:tcW w:w="4491" w:type="dxa"/>
            <w:vMerge w:val="restart"/>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2</w:t>
            </w:r>
            <w:r>
              <w:rPr>
                <w:rFonts w:ascii="Times New Roman" w:hAnsi="Times New Roman"/>
                <w:color w:val="auto"/>
                <w:highlight w:val="none"/>
              </w:rPr>
              <w:t>.是否制定灭火和应急疏散预案，并定期开展演练。</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3</w:t>
            </w:r>
            <w:r>
              <w:rPr>
                <w:rFonts w:hint="default" w:ascii="Times New Roman" w:hAnsi="Times New Roman"/>
                <w:color w:val="auto"/>
                <w:highlight w:val="none"/>
                <w:lang w:val="en-US" w:eastAsia="zh-CN"/>
              </w:rPr>
              <w:t>8</w:t>
            </w:r>
            <w:r>
              <w:rPr>
                <w:rFonts w:ascii="Times New Roman" w:hAnsi="Times New Roman"/>
                <w:color w:val="auto"/>
                <w:highlight w:val="none"/>
              </w:rPr>
              <w:t>.单位未制定预案并组织演练的，扣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354" w:type="dxa"/>
            <w:vMerge w:val="continue"/>
            <w:noWrap w:val="0"/>
            <w:vAlign w:val="center"/>
          </w:tcPr>
          <w:p>
            <w:pP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9</w:t>
            </w:r>
            <w:r>
              <w:rPr>
                <w:rFonts w:ascii="Times New Roman" w:hAnsi="Times New Roman"/>
                <w:color w:val="auto"/>
                <w:highlight w:val="none"/>
              </w:rPr>
              <w:t>.单位已制定预案，但未定期组织演练的，扣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3</w:t>
            </w:r>
            <w:r>
              <w:rPr>
                <w:rFonts w:ascii="Times New Roman" w:hAnsi="Times New Roman"/>
                <w:color w:val="auto"/>
                <w:highlight w:val="none"/>
              </w:rPr>
              <w:t>.是否按有关规定建立专职消防队或志愿消防队</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40</w:t>
            </w:r>
            <w:r>
              <w:rPr>
                <w:rFonts w:ascii="Times New Roman" w:hAnsi="Times New Roman"/>
                <w:color w:val="auto"/>
                <w:highlight w:val="none"/>
              </w:rPr>
              <w:t>.未按规定建立专职消防队或志愿消防队的，扣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1</w:t>
            </w:r>
            <w:r>
              <w:rPr>
                <w:rFonts w:ascii="Times New Roman" w:hAnsi="Times New Roman"/>
                <w:color w:val="auto"/>
                <w:highlight w:val="none"/>
              </w:rPr>
              <w:t>.人员密集场所志愿消防队队员数量少于本场所从业人员数量30%的，扣</w:t>
            </w:r>
            <w:r>
              <w:rPr>
                <w:rFonts w:hint="default" w:ascii="Times New Roman" w:hAnsi="Times New Roman"/>
                <w:color w:val="auto"/>
                <w:highlight w:val="none"/>
              </w:rPr>
              <w:t>1</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exac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2</w:t>
            </w:r>
            <w:r>
              <w:rPr>
                <w:rFonts w:hint="default" w:ascii="Times New Roman" w:hAnsi="Times New Roman"/>
                <w:color w:val="auto"/>
                <w:highlight w:val="none"/>
              </w:rPr>
              <w:t>.属于年度消防安全重点单位名录的单位未按规定建立微型消防站及相关管理制度，配齐配全人员装备的，扣2分。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消防宣传</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教育培训</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10</w:t>
            </w:r>
            <w:r>
              <w:rPr>
                <w:rFonts w:ascii="Times New Roman" w:hAnsi="Times New Roman"/>
                <w:b/>
                <w:color w:val="auto"/>
                <w:kern w:val="0"/>
                <w:sz w:val="24"/>
                <w:highlight w:val="none"/>
              </w:rPr>
              <w:t>分)</w:t>
            </w:r>
          </w:p>
        </w:tc>
        <w:tc>
          <w:tcPr>
            <w:tcW w:w="449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4</w:t>
            </w:r>
            <w:r>
              <w:rPr>
                <w:rFonts w:ascii="Times New Roman" w:hAnsi="Times New Roman"/>
                <w:color w:val="auto"/>
                <w:highlight w:val="none"/>
              </w:rPr>
              <w:t>.是否开展经常性消防安全宣传工作</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3</w:t>
            </w:r>
            <w:r>
              <w:rPr>
                <w:rFonts w:ascii="Times New Roman" w:hAnsi="Times New Roman"/>
                <w:color w:val="auto"/>
                <w:highlight w:val="none"/>
              </w:rPr>
              <w:t>.未开展经常性消防安全宣传的，扣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354" w:type="dxa"/>
            <w:vMerge w:val="continue"/>
            <w:noWrap w:val="0"/>
            <w:vAlign w:val="center"/>
          </w:tcPr>
          <w:p>
            <w:pPr>
              <w:spacing w:line="300" w:lineRule="exact"/>
              <w:jc w:val="center"/>
              <w:rPr>
                <w:rFonts w:ascii="Times New Roman" w:hAnsi="Times New Roman" w:eastAsia="仿宋_GB2312"/>
                <w:b/>
                <w:bCs/>
                <w:color w:val="auto"/>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5</w:t>
            </w:r>
            <w:r>
              <w:rPr>
                <w:rFonts w:ascii="Times New Roman" w:hAnsi="Times New Roman"/>
                <w:color w:val="auto"/>
                <w:highlight w:val="none"/>
              </w:rPr>
              <w:t>.是否组织员工每年至少开展一次消防培训（人员密集场所每半年至少一次），新上岗的员工开展岗前消防培训</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4</w:t>
            </w:r>
            <w:r>
              <w:rPr>
                <w:rFonts w:ascii="Times New Roman" w:hAnsi="Times New Roman"/>
                <w:color w:val="auto"/>
                <w:highlight w:val="none"/>
              </w:rPr>
              <w:t>.未定期组织员工开展消防培训的，扣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exact"/>
          <w:jc w:val="center"/>
        </w:trPr>
        <w:tc>
          <w:tcPr>
            <w:tcW w:w="1354" w:type="dxa"/>
            <w:vMerge w:val="continue"/>
            <w:noWrap w:val="0"/>
            <w:vAlign w:val="center"/>
          </w:tcPr>
          <w:p>
            <w:pPr>
              <w:spacing w:line="300" w:lineRule="exact"/>
              <w:jc w:val="center"/>
              <w:rPr>
                <w:rFonts w:ascii="Times New Roman" w:hAnsi="Times New Roman" w:eastAsia="仿宋_GB2312"/>
                <w:b/>
                <w:bCs/>
                <w:color w:val="auto"/>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4</w:t>
            </w:r>
            <w:r>
              <w:rPr>
                <w:rFonts w:hint="default" w:ascii="Times New Roman" w:hAnsi="Times New Roman"/>
                <w:color w:val="auto"/>
                <w:highlight w:val="none"/>
                <w:lang w:val="en-US" w:eastAsia="zh-CN"/>
              </w:rPr>
              <w:t>5</w:t>
            </w:r>
            <w:r>
              <w:rPr>
                <w:rFonts w:ascii="Times New Roman" w:hAnsi="Times New Roman"/>
                <w:color w:val="auto"/>
                <w:highlight w:val="none"/>
              </w:rPr>
              <w:t>.</w:t>
            </w:r>
            <w:r>
              <w:rPr>
                <w:rFonts w:hint="default" w:ascii="Times New Roman" w:hAnsi="Times New Roman"/>
                <w:color w:val="auto"/>
                <w:highlight w:val="none"/>
              </w:rPr>
              <w:t>员工不能正确回答以下问题的，</w:t>
            </w:r>
            <w:r>
              <w:rPr>
                <w:rFonts w:ascii="Times New Roman" w:hAnsi="Times New Roman"/>
                <w:color w:val="auto"/>
                <w:highlight w:val="none"/>
              </w:rPr>
              <w:t>扣</w:t>
            </w:r>
            <w:r>
              <w:rPr>
                <w:rFonts w:hint="default" w:ascii="Times New Roman" w:hAnsi="Times New Roman"/>
                <w:color w:val="auto"/>
                <w:highlight w:val="none"/>
              </w:rPr>
              <w:t>4</w:t>
            </w:r>
            <w:r>
              <w:rPr>
                <w:rFonts w:ascii="Times New Roman" w:hAnsi="Times New Roman"/>
                <w:color w:val="auto"/>
                <w:highlight w:val="none"/>
              </w:rPr>
              <w:t>分。</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a.发生火灾后如何报警；</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b.发生火灾后如何进行扑救；</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c.如何在火灾中逃生和疏散。</w:t>
            </w:r>
          </w:p>
        </w:tc>
        <w:tc>
          <w:tcPr>
            <w:tcW w:w="1527" w:type="dxa"/>
            <w:vMerge w:val="restart"/>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随机抽查员工</w:t>
            </w:r>
          </w:p>
        </w:tc>
        <w:tc>
          <w:tcPr>
            <w:tcW w:w="1106" w:type="dxa"/>
            <w:vMerge w:val="restart"/>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exact"/>
          <w:jc w:val="center"/>
        </w:trPr>
        <w:tc>
          <w:tcPr>
            <w:tcW w:w="1354" w:type="dxa"/>
            <w:vMerge w:val="continue"/>
            <w:noWrap w:val="0"/>
            <w:vAlign w:val="center"/>
          </w:tcPr>
          <w:p>
            <w:pPr>
              <w:spacing w:line="300" w:lineRule="exact"/>
              <w:jc w:val="center"/>
              <w:rPr>
                <w:rFonts w:ascii="Times New Roman" w:hAnsi="Times New Roman" w:eastAsia="仿宋_GB2312"/>
                <w:b/>
                <w:bCs/>
                <w:color w:val="auto"/>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4</w:t>
            </w:r>
            <w:r>
              <w:rPr>
                <w:rFonts w:hint="default" w:ascii="Times New Roman" w:hAnsi="Times New Roman"/>
                <w:color w:val="auto"/>
                <w:highlight w:val="none"/>
                <w:lang w:val="en-US" w:eastAsia="zh-CN"/>
              </w:rPr>
              <w:t>6</w:t>
            </w:r>
            <w:r>
              <w:rPr>
                <w:rFonts w:ascii="Times New Roman" w:hAnsi="Times New Roman"/>
                <w:color w:val="auto"/>
                <w:highlight w:val="none"/>
              </w:rPr>
              <w:t>.员工不熟悉本岗位消防安全职责的，每1名扣</w:t>
            </w:r>
            <w:r>
              <w:rPr>
                <w:rFonts w:hint="default" w:ascii="Times New Roman" w:hAnsi="Times New Roman"/>
                <w:color w:val="auto"/>
                <w:highlight w:val="none"/>
              </w:rPr>
              <w:t>1分</w:t>
            </w:r>
            <w:r>
              <w:rPr>
                <w:rFonts w:ascii="Times New Roman" w:hAnsi="Times New Roman"/>
                <w:color w:val="auto"/>
                <w:highlight w:val="none"/>
              </w:rPr>
              <w:t>，扣完</w:t>
            </w:r>
            <w:r>
              <w:rPr>
                <w:rFonts w:hint="default" w:ascii="Times New Roman" w:hAnsi="Times New Roman"/>
                <w:color w:val="auto"/>
                <w:highlight w:val="none"/>
              </w:rPr>
              <w:t>2分</w:t>
            </w:r>
            <w:r>
              <w:rPr>
                <w:rFonts w:ascii="Times New Roman" w:hAnsi="Times New Roman"/>
                <w:color w:val="auto"/>
                <w:highlight w:val="none"/>
              </w:rPr>
              <w:t>为止。</w:t>
            </w:r>
          </w:p>
        </w:tc>
        <w:tc>
          <w:tcPr>
            <w:tcW w:w="1527" w:type="dxa"/>
            <w:vMerge w:val="continue"/>
            <w:noWrap w:val="0"/>
            <w:vAlign w:val="center"/>
          </w:tcPr>
          <w:p>
            <w:pPr>
              <w:spacing w:line="320" w:lineRule="exact"/>
              <w:jc w:val="center"/>
              <w:rPr>
                <w:rFonts w:ascii="Times New Roman" w:hAnsi="Times New Roman"/>
                <w:color w:val="auto"/>
                <w:highlight w:val="none"/>
              </w:rPr>
            </w:pPr>
          </w:p>
        </w:tc>
        <w:tc>
          <w:tcPr>
            <w:tcW w:w="1106" w:type="dxa"/>
            <w:vMerge w:val="continue"/>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354" w:type="dxa"/>
            <w:vMerge w:val="continue"/>
            <w:noWrap w:val="0"/>
            <w:vAlign w:val="center"/>
          </w:tcPr>
          <w:p>
            <w:pPr>
              <w:spacing w:line="300" w:lineRule="exact"/>
              <w:jc w:val="center"/>
              <w:rPr>
                <w:rFonts w:ascii="Times New Roman" w:hAnsi="Times New Roman" w:eastAsia="仿宋_GB2312"/>
                <w:b/>
                <w:bCs/>
                <w:color w:val="auto"/>
                <w:sz w:val="24"/>
                <w:highlight w:val="none"/>
              </w:rPr>
            </w:pPr>
          </w:p>
        </w:tc>
        <w:tc>
          <w:tcPr>
            <w:tcW w:w="449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lang w:val="en-US" w:eastAsia="zh-CN"/>
              </w:rPr>
              <w:t>6</w:t>
            </w:r>
            <w:r>
              <w:rPr>
                <w:rFonts w:ascii="Times New Roman" w:hAnsi="Times New Roman"/>
                <w:color w:val="auto"/>
                <w:highlight w:val="none"/>
              </w:rPr>
              <w:t>.人员密集场所是否在场所内张贴《关于人员密集场所加强火灾防范的通告》</w:t>
            </w:r>
            <w:r>
              <w:rPr>
                <w:rFonts w:hint="default" w:ascii="Times New Roman" w:hAnsi="Times New Roman"/>
                <w:color w:val="auto"/>
                <w:highlight w:val="none"/>
                <w:lang w:eastAsia="zh-CN"/>
              </w:rPr>
              <w:t>；</w:t>
            </w:r>
            <w:r>
              <w:rPr>
                <w:rFonts w:hint="default" w:ascii="Times New Roman" w:hAnsi="Times New Roman"/>
                <w:color w:val="auto"/>
                <w:highlight w:val="none"/>
                <w:lang w:val="en-US" w:eastAsia="zh-CN"/>
              </w:rPr>
              <w:t>是否普及宣传电动自行车安全使用和安全充电知识，在禁止停放电动自行车的建筑和场所出入口张贴“电动自行车不得入内”标识。</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4</w:t>
            </w:r>
            <w:r>
              <w:rPr>
                <w:rFonts w:hint="default" w:ascii="Times New Roman" w:hAnsi="Times New Roman"/>
                <w:color w:val="auto"/>
                <w:highlight w:val="none"/>
                <w:lang w:val="en-US" w:eastAsia="zh-CN"/>
              </w:rPr>
              <w:t>7</w:t>
            </w:r>
            <w:r>
              <w:rPr>
                <w:rFonts w:ascii="Times New Roman" w:hAnsi="Times New Roman"/>
                <w:color w:val="auto"/>
                <w:highlight w:val="none"/>
              </w:rPr>
              <w:t>.未按要求张贴的，扣</w:t>
            </w:r>
            <w:r>
              <w:rPr>
                <w:rFonts w:hint="default" w:ascii="Times New Roman" w:hAnsi="Times New Roman"/>
                <w:color w:val="auto"/>
                <w:highlight w:val="none"/>
              </w:rPr>
              <w:t>1</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bl>
    <w:p>
      <w:pPr>
        <w:pStyle w:val="8"/>
        <w:jc w:val="center"/>
        <w:rPr>
          <w:rFonts w:hint="default" w:ascii="Times New Roman" w:hAnsi="Times New Roman"/>
          <w:color w:val="auto"/>
          <w:highlight w:val="none"/>
        </w:rPr>
      </w:pPr>
      <w:r>
        <w:rPr>
          <w:rFonts w:ascii="Times New Roman" w:hAnsi="Times New Roman"/>
          <w:color w:val="auto"/>
          <w:highlight w:val="none"/>
        </w:rPr>
        <w:br w:type="page"/>
      </w:r>
      <w:r>
        <w:rPr>
          <w:rFonts w:ascii="Times New Roman" w:hAnsi="Times New Roman"/>
          <w:color w:val="auto"/>
          <w:highlight w:val="none"/>
        </w:rPr>
        <w:t>（</w:t>
      </w:r>
      <w:r>
        <w:rPr>
          <w:rFonts w:hint="default" w:ascii="Times New Roman" w:hAnsi="Times New Roman"/>
          <w:color w:val="auto"/>
          <w:highlight w:val="none"/>
        </w:rPr>
        <w:t>四</w:t>
      </w:r>
      <w:r>
        <w:rPr>
          <w:rFonts w:ascii="Times New Roman" w:hAnsi="Times New Roman"/>
          <w:color w:val="auto"/>
          <w:highlight w:val="none"/>
        </w:rPr>
        <w:t>）</w:t>
      </w:r>
      <w:r>
        <w:rPr>
          <w:rFonts w:hint="default" w:ascii="Times New Roman" w:hAnsi="Times New Roman"/>
          <w:color w:val="auto"/>
          <w:highlight w:val="none"/>
        </w:rPr>
        <w:t>大型商业综合体和大型批发市场</w:t>
      </w:r>
      <w:r>
        <w:rPr>
          <w:rFonts w:ascii="Times New Roman" w:hAnsi="Times New Roman"/>
          <w:color w:val="auto"/>
          <w:highlight w:val="none"/>
        </w:rPr>
        <w:t>消防安全评估细则（100分）</w:t>
      </w:r>
    </w:p>
    <w:p>
      <w:pPr>
        <w:pStyle w:val="8"/>
        <w:jc w:val="center"/>
        <w:rPr>
          <w:rFonts w:hint="default" w:ascii="Times New Roman" w:hAnsi="Times New Roman"/>
          <w:color w:val="auto"/>
          <w:sz w:val="28"/>
          <w:szCs w:val="28"/>
          <w:highlight w:val="none"/>
        </w:rPr>
      </w:pPr>
      <w:r>
        <w:rPr>
          <w:rFonts w:hint="default" w:ascii="Times New Roman" w:hAnsi="Times New Roman"/>
          <w:color w:val="auto"/>
          <w:sz w:val="28"/>
          <w:szCs w:val="28"/>
          <w:highlight w:val="none"/>
        </w:rPr>
        <w:t>（适用于总建筑面积10000平方米（含）以上的大型商业综合体和大型批发市场）</w:t>
      </w:r>
    </w:p>
    <w:p>
      <w:pPr>
        <w:spacing w:line="320" w:lineRule="exact"/>
        <w:jc w:val="left"/>
        <w:rPr>
          <w:rFonts w:ascii="Times New Roman" w:hAnsi="Times New Roman" w:eastAsia="楷体_GB2312"/>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4491"/>
        <w:gridCol w:w="5500"/>
        <w:gridCol w:w="152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54"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检查项目</w:t>
            </w:r>
          </w:p>
        </w:tc>
        <w:tc>
          <w:tcPr>
            <w:tcW w:w="4491"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检查内容</w:t>
            </w:r>
          </w:p>
        </w:tc>
        <w:tc>
          <w:tcPr>
            <w:tcW w:w="5500"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检查标准</w:t>
            </w:r>
          </w:p>
        </w:tc>
        <w:tc>
          <w:tcPr>
            <w:tcW w:w="1527"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检查方法</w:t>
            </w:r>
          </w:p>
        </w:tc>
        <w:tc>
          <w:tcPr>
            <w:tcW w:w="1106"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hint="default" w:ascii="Times New Roman" w:hAnsi="Times New Roman"/>
                <w:b/>
                <w:color w:val="auto"/>
                <w:kern w:val="0"/>
                <w:sz w:val="24"/>
                <w:highlight w:val="none"/>
              </w:rPr>
              <w:t>单位消防安全主体责任</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20</w:t>
            </w:r>
            <w:r>
              <w:rPr>
                <w:rFonts w:ascii="Times New Roman" w:hAnsi="Times New Roman"/>
                <w:b/>
                <w:color w:val="auto"/>
                <w:kern w:val="0"/>
                <w:sz w:val="24"/>
                <w:highlight w:val="none"/>
              </w:rPr>
              <w:t>分）</w:t>
            </w: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ascii="Times New Roman" w:hAnsi="Times New Roman"/>
                <w:color w:val="auto"/>
                <w:highlight w:val="none"/>
              </w:rPr>
              <w:t>1.是否建立逐级消防安全责任制，明确单位消防安全管理人员</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1.产权单位、委托管理单位以及各经营主体、使用单位未分别明确消防安全责任人、管理人，未逐级签订消防安全承诺书的，发现一处扣2分，扣完6分为止。</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2.未</w:t>
            </w:r>
            <w:r>
              <w:rPr>
                <w:rFonts w:ascii="Times New Roman" w:hAnsi="Times New Roman"/>
                <w:color w:val="auto"/>
                <w:highlight w:val="none"/>
              </w:rPr>
              <w:t>设立消防安全工作归口管理部门并逐级明确消防安全管理职责</w:t>
            </w:r>
            <w:r>
              <w:rPr>
                <w:rFonts w:hint="default" w:ascii="Times New Roman" w:hAnsi="Times New Roman"/>
                <w:color w:val="auto"/>
                <w:highlight w:val="none"/>
              </w:rPr>
              <w:t>的，</w:t>
            </w:r>
            <w:r>
              <w:rPr>
                <w:rFonts w:hint="default" w:ascii="Times New Roman" w:hAnsi="Times New Roman"/>
                <w:color w:val="auto"/>
                <w:highlight w:val="none"/>
                <w:lang w:val="en-US" w:eastAsia="zh-CN"/>
              </w:rPr>
              <w:t>未建立消防安全专业管理团队的</w:t>
            </w:r>
            <w:r>
              <w:rPr>
                <w:rFonts w:hint="default" w:ascii="Times New Roman" w:hAnsi="Times New Roman"/>
                <w:color w:val="auto"/>
                <w:highlight w:val="none"/>
              </w:rPr>
              <w:t>扣5分。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eastAsia="宋体"/>
                <w:color w:val="auto"/>
                <w:highlight w:val="none"/>
                <w:lang w:val="en-US" w:eastAsia="zh-CN"/>
              </w:rPr>
            </w:pPr>
            <w:r>
              <w:rPr>
                <w:rFonts w:hint="default" w:ascii="Times New Roman" w:hAnsi="Times New Roman"/>
                <w:color w:val="auto"/>
                <w:highlight w:val="none"/>
                <w:lang w:val="en-US" w:eastAsia="zh-CN"/>
              </w:rPr>
              <w:t>3、未开展消防安全达标创建工作的，扣20分。</w:t>
            </w:r>
          </w:p>
        </w:tc>
        <w:tc>
          <w:tcPr>
            <w:tcW w:w="1527" w:type="dxa"/>
            <w:noWrap w:val="0"/>
            <w:vAlign w:val="center"/>
          </w:tcPr>
          <w:p>
            <w:pPr>
              <w:spacing w:line="320" w:lineRule="exact"/>
              <w:jc w:val="center"/>
              <w:rPr>
                <w:rFonts w:hint="default" w:ascii="Times New Roman" w:hAnsi="Times New Roman" w:eastAsia="宋体"/>
                <w:color w:val="auto"/>
                <w:highlight w:val="none"/>
                <w:lang w:val="en-US" w:eastAsia="zh-CN"/>
              </w:rPr>
            </w:pPr>
            <w:r>
              <w:rPr>
                <w:rFonts w:hint="default" w:ascii="Times New Roman" w:hAnsi="Times New Roman"/>
                <w:color w:val="auto"/>
                <w:highlight w:val="none"/>
                <w:lang w:val="en-US" w:eastAsia="zh-CN"/>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ascii="Times New Roman" w:hAnsi="Times New Roman"/>
                <w:color w:val="auto"/>
                <w:highlight w:val="none"/>
              </w:rPr>
              <w:t>2.是否制定符合本单位实际的消防安全制度</w:t>
            </w: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3.未</w:t>
            </w:r>
            <w:r>
              <w:rPr>
                <w:rFonts w:ascii="Times New Roman" w:hAnsi="Times New Roman"/>
                <w:color w:val="auto"/>
                <w:highlight w:val="none"/>
              </w:rPr>
              <w:t>逐楼层、逐区域、逐级、逐岗位明确重点岗位人员和员工的消防安全职责</w:t>
            </w:r>
            <w:r>
              <w:rPr>
                <w:rFonts w:hint="default" w:ascii="Times New Roman" w:hAnsi="Times New Roman"/>
                <w:color w:val="auto"/>
                <w:highlight w:val="none"/>
              </w:rPr>
              <w:t>的，发现一处扣2分，扣完6分为止。</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4.</w:t>
            </w:r>
            <w:r>
              <w:rPr>
                <w:rFonts w:ascii="Times New Roman" w:hAnsi="Times New Roman"/>
                <w:color w:val="auto"/>
                <w:highlight w:val="none"/>
              </w:rPr>
              <w:t>未</w:t>
            </w:r>
            <w:r>
              <w:rPr>
                <w:rFonts w:hint="default" w:ascii="Times New Roman" w:hAnsi="Times New Roman"/>
                <w:color w:val="auto"/>
                <w:highlight w:val="none"/>
              </w:rPr>
              <w:t>建立或健全</w:t>
            </w:r>
            <w:r>
              <w:rPr>
                <w:rFonts w:ascii="Times New Roman" w:hAnsi="Times New Roman"/>
                <w:color w:val="auto"/>
                <w:highlight w:val="none"/>
              </w:rPr>
              <w:t>本单位消防安全制度的</w:t>
            </w:r>
            <w:r>
              <w:rPr>
                <w:rFonts w:hint="default" w:ascii="Times New Roman" w:hAnsi="Times New Roman"/>
                <w:color w:val="auto"/>
                <w:highlight w:val="none"/>
              </w:rPr>
              <w:t>，扣5分。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hint="default" w:ascii="Times New Roman" w:hAnsi="Times New Roman"/>
                <w:color w:val="auto"/>
                <w:highlight w:val="none"/>
              </w:rPr>
              <w:t>3.是否违规使用易燃易爆危险物品。</w:t>
            </w: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5.</w:t>
            </w:r>
            <w:r>
              <w:rPr>
                <w:rFonts w:ascii="Times New Roman" w:hAnsi="Times New Roman"/>
                <w:color w:val="auto"/>
                <w:highlight w:val="none"/>
              </w:rPr>
              <w:t>违规使用、存放或销售易燃易爆物品</w:t>
            </w:r>
            <w:r>
              <w:rPr>
                <w:rFonts w:hint="default" w:ascii="Times New Roman" w:hAnsi="Times New Roman"/>
                <w:color w:val="auto"/>
                <w:highlight w:val="none"/>
              </w:rPr>
              <w:t>，扣10分。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6.</w:t>
            </w:r>
            <w:r>
              <w:rPr>
                <w:rFonts w:ascii="Times New Roman" w:hAnsi="Times New Roman"/>
                <w:color w:val="auto"/>
                <w:highlight w:val="none"/>
              </w:rPr>
              <w:t>违规住人及以店代库、超量存放易燃可燃商品货物</w:t>
            </w:r>
            <w:r>
              <w:rPr>
                <w:rFonts w:hint="default" w:ascii="Times New Roman" w:hAnsi="Times New Roman"/>
                <w:color w:val="auto"/>
                <w:highlight w:val="none"/>
              </w:rPr>
              <w:t>的，扣10分。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hint="default" w:ascii="Times New Roman" w:hAnsi="Times New Roman"/>
                <w:color w:val="auto"/>
                <w:highlight w:val="none"/>
              </w:rPr>
              <w:t>4.</w:t>
            </w:r>
            <w:r>
              <w:rPr>
                <w:rFonts w:ascii="Times New Roman" w:hAnsi="Times New Roman"/>
                <w:color w:val="auto"/>
                <w:highlight w:val="none"/>
              </w:rPr>
              <w:t>消防控制室的管理是否符合要求</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7</w:t>
            </w:r>
            <w:r>
              <w:rPr>
                <w:rFonts w:ascii="Times New Roman" w:hAnsi="Times New Roman"/>
                <w:color w:val="auto"/>
                <w:highlight w:val="none"/>
              </w:rPr>
              <w:t>.消防控制室的设置不符合消防技术标准的，扣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8</w:t>
            </w:r>
            <w:r>
              <w:rPr>
                <w:rFonts w:ascii="Times New Roman" w:hAnsi="Times New Roman"/>
                <w:color w:val="auto"/>
                <w:highlight w:val="none"/>
              </w:rPr>
              <w:t>.消防控制室未落实双人值班的，扣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9</w:t>
            </w:r>
            <w:r>
              <w:rPr>
                <w:rFonts w:ascii="Times New Roman" w:hAnsi="Times New Roman"/>
                <w:color w:val="auto"/>
                <w:highlight w:val="none"/>
              </w:rPr>
              <w:t>.消防控制室值班记录不齐全的，扣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0</w:t>
            </w:r>
            <w:r>
              <w:rPr>
                <w:rFonts w:ascii="Times New Roman" w:hAnsi="Times New Roman"/>
                <w:color w:val="auto"/>
                <w:highlight w:val="none"/>
              </w:rPr>
              <w:t>.消防控制室值班人员未持证上岗的，扣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1</w:t>
            </w:r>
            <w:r>
              <w:rPr>
                <w:rFonts w:ascii="Times New Roman" w:hAnsi="Times New Roman"/>
                <w:color w:val="auto"/>
                <w:highlight w:val="none"/>
              </w:rPr>
              <w:t>.消防控制室值班人员处置程序不熟悉的，扣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hint="default" w:ascii="Times New Roman" w:hAnsi="Times New Roman"/>
                <w:color w:val="auto"/>
                <w:highlight w:val="none"/>
              </w:rPr>
            </w:pPr>
            <w:r>
              <w:rPr>
                <w:rFonts w:ascii="Times New Roman" w:hAnsi="Times New Roman"/>
                <w:color w:val="auto"/>
                <w:highlight w:val="none"/>
              </w:rPr>
              <w:t>随机抽查</w:t>
            </w:r>
            <w:r>
              <w:rPr>
                <w:rFonts w:hint="default" w:ascii="Times New Roman" w:hAnsi="Times New Roman"/>
                <w:color w:val="auto"/>
                <w:highlight w:val="none"/>
              </w:rPr>
              <w:t>值班人员</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2</w:t>
            </w:r>
            <w:r>
              <w:rPr>
                <w:rFonts w:ascii="Times New Roman" w:hAnsi="Times New Roman"/>
                <w:color w:val="auto"/>
                <w:highlight w:val="none"/>
              </w:rPr>
              <w:t>.未建立、悬挂《消防控制室管理制度》、《消防控制室值班人员职责》、《火灾接警处警程序》、《消防控制室管理及应急程序》的，扣</w:t>
            </w:r>
            <w:r>
              <w:rPr>
                <w:rFonts w:hint="default" w:ascii="Times New Roman" w:hAnsi="Times New Roman"/>
                <w:color w:val="auto"/>
                <w:highlight w:val="none"/>
              </w:rPr>
              <w:t>1</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3</w:t>
            </w:r>
            <w:r>
              <w:rPr>
                <w:rFonts w:ascii="Times New Roman" w:hAnsi="Times New Roman"/>
                <w:color w:val="auto"/>
                <w:highlight w:val="none"/>
              </w:rPr>
              <w:t>.未按照《消防控制室通用技术要求》4.1条规定保存有关消防工作的纸质或电子档案资料的，扣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hint="default" w:ascii="Times New Roman" w:hAnsi="Times New Roman"/>
                <w:color w:val="auto"/>
                <w:highlight w:val="none"/>
              </w:rPr>
              <w:t>5.</w:t>
            </w:r>
            <w:r>
              <w:rPr>
                <w:rFonts w:ascii="Times New Roman" w:hAnsi="Times New Roman"/>
                <w:color w:val="auto"/>
                <w:highlight w:val="none"/>
              </w:rPr>
              <w:t>是否制定灭火和应急疏散预案，并定期开展演练。</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4</w:t>
            </w:r>
            <w:r>
              <w:rPr>
                <w:rFonts w:hint="default" w:ascii="Times New Roman" w:hAnsi="Times New Roman"/>
                <w:color w:val="auto"/>
                <w:highlight w:val="none"/>
              </w:rPr>
              <w:t>.</w:t>
            </w:r>
            <w:r>
              <w:rPr>
                <w:rFonts w:ascii="Times New Roman" w:hAnsi="Times New Roman"/>
                <w:color w:val="auto"/>
                <w:highlight w:val="none"/>
              </w:rPr>
              <w:t>单位未制定预案并组织演练的，扣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5.</w:t>
            </w:r>
            <w:r>
              <w:rPr>
                <w:rFonts w:ascii="Times New Roman" w:hAnsi="Times New Roman"/>
                <w:color w:val="auto"/>
                <w:highlight w:val="none"/>
              </w:rPr>
              <w:t>单位已制定预案，但未定期组织演练的，扣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6.</w:t>
            </w:r>
            <w:r>
              <w:rPr>
                <w:rFonts w:hint="default" w:ascii="Times New Roman" w:hAnsi="Times New Roman"/>
                <w:color w:val="auto"/>
                <w:highlight w:val="none"/>
              </w:rPr>
              <w:t>单位</w:t>
            </w:r>
            <w:r>
              <w:rPr>
                <w:rFonts w:ascii="Times New Roman" w:hAnsi="Times New Roman"/>
                <w:color w:val="auto"/>
                <w:highlight w:val="none"/>
              </w:rPr>
              <w:t>场所及各经营主体、使用单位</w:t>
            </w:r>
            <w:r>
              <w:rPr>
                <w:rFonts w:hint="default" w:ascii="Times New Roman" w:hAnsi="Times New Roman"/>
                <w:color w:val="auto"/>
                <w:highlight w:val="none"/>
              </w:rPr>
              <w:t>无</w:t>
            </w:r>
            <w:r>
              <w:rPr>
                <w:rFonts w:ascii="Times New Roman" w:hAnsi="Times New Roman"/>
                <w:color w:val="auto"/>
                <w:highlight w:val="none"/>
              </w:rPr>
              <w:t>及时处置初期火灾的响应力量</w:t>
            </w:r>
            <w:r>
              <w:rPr>
                <w:rFonts w:hint="default" w:ascii="Times New Roman" w:hAnsi="Times New Roman"/>
                <w:color w:val="auto"/>
                <w:highlight w:val="none"/>
              </w:rPr>
              <w:t>或</w:t>
            </w:r>
            <w:r>
              <w:rPr>
                <w:rFonts w:ascii="Times New Roman" w:hAnsi="Times New Roman"/>
                <w:color w:val="auto"/>
                <w:highlight w:val="none"/>
              </w:rPr>
              <w:t>各响应力量之间</w:t>
            </w:r>
            <w:r>
              <w:rPr>
                <w:rFonts w:hint="default" w:ascii="Times New Roman" w:hAnsi="Times New Roman"/>
                <w:color w:val="auto"/>
                <w:highlight w:val="none"/>
              </w:rPr>
              <w:t>未</w:t>
            </w:r>
            <w:r>
              <w:rPr>
                <w:rFonts w:ascii="Times New Roman" w:hAnsi="Times New Roman"/>
                <w:color w:val="auto"/>
                <w:highlight w:val="none"/>
              </w:rPr>
              <w:t>建立应急保障机制</w:t>
            </w:r>
            <w:r>
              <w:rPr>
                <w:rFonts w:hint="default" w:ascii="Times New Roman" w:hAnsi="Times New Roman"/>
                <w:color w:val="auto"/>
                <w:highlight w:val="none"/>
              </w:rPr>
              <w:t>的，扣3分。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hint="default" w:ascii="Times New Roman" w:hAnsi="Times New Roman"/>
                <w:color w:val="auto"/>
                <w:highlight w:val="none"/>
              </w:rPr>
              <w:t>6.</w:t>
            </w:r>
            <w:r>
              <w:rPr>
                <w:rFonts w:ascii="Times New Roman" w:hAnsi="Times New Roman"/>
                <w:color w:val="auto"/>
                <w:highlight w:val="none"/>
              </w:rPr>
              <w:t>是否每日开展防火巡查，每月开展至少一次防火检查。</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w:t>
            </w:r>
            <w:r>
              <w:rPr>
                <w:rFonts w:hint="default" w:ascii="Times New Roman" w:hAnsi="Times New Roman"/>
                <w:color w:val="auto"/>
                <w:highlight w:val="none"/>
                <w:lang w:val="en-US" w:eastAsia="zh-CN"/>
              </w:rPr>
              <w:t>7</w:t>
            </w:r>
            <w:r>
              <w:rPr>
                <w:rFonts w:ascii="Times New Roman" w:hAnsi="Times New Roman"/>
                <w:color w:val="auto"/>
                <w:highlight w:val="none"/>
              </w:rPr>
              <w:t>.未按要求每日组织开展每日防火巡查的，扣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18</w:t>
            </w:r>
            <w:r>
              <w:rPr>
                <w:rFonts w:ascii="Times New Roman" w:hAnsi="Times New Roman"/>
                <w:color w:val="auto"/>
                <w:highlight w:val="none"/>
              </w:rPr>
              <w:t>.未按要求每月组织开展防火检查的，扣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19</w:t>
            </w:r>
            <w:r>
              <w:rPr>
                <w:rFonts w:ascii="Times New Roman" w:hAnsi="Times New Roman"/>
                <w:color w:val="auto"/>
                <w:highlight w:val="none"/>
              </w:rPr>
              <w:t>.防火巡查、检查记录不齐全或填写不规范的，扣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7</w:t>
            </w:r>
            <w:r>
              <w:rPr>
                <w:rFonts w:ascii="Times New Roman" w:hAnsi="Times New Roman"/>
                <w:color w:val="auto"/>
                <w:highlight w:val="none"/>
              </w:rPr>
              <w:t>.电气</w:t>
            </w:r>
            <w:r>
              <w:rPr>
                <w:rFonts w:hint="default" w:ascii="Times New Roman" w:hAnsi="Times New Roman"/>
                <w:color w:val="auto"/>
                <w:highlight w:val="none"/>
              </w:rPr>
              <w:t>防火</w:t>
            </w:r>
            <w:r>
              <w:rPr>
                <w:rFonts w:ascii="Times New Roman" w:hAnsi="Times New Roman"/>
                <w:color w:val="auto"/>
                <w:highlight w:val="none"/>
              </w:rPr>
              <w:t>是否符合要求</w:t>
            </w: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0.</w:t>
            </w:r>
            <w:r>
              <w:rPr>
                <w:rFonts w:hint="default" w:ascii="Times New Roman" w:hAnsi="Times New Roman"/>
                <w:color w:val="auto"/>
                <w:highlight w:val="none"/>
              </w:rPr>
              <w:t>未</w:t>
            </w:r>
            <w:r>
              <w:rPr>
                <w:rFonts w:ascii="Times New Roman" w:hAnsi="Times New Roman"/>
                <w:color w:val="auto"/>
                <w:highlight w:val="none"/>
              </w:rPr>
              <w:t>制定并严格执行用电安全管理制度</w:t>
            </w:r>
            <w:r>
              <w:rPr>
                <w:rFonts w:hint="default" w:ascii="Times New Roman" w:hAnsi="Times New Roman"/>
                <w:color w:val="auto"/>
                <w:highlight w:val="none"/>
              </w:rPr>
              <w:t>的，扣2分。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vMerge w:val="restart"/>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hint="default"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1.</w:t>
            </w:r>
            <w:r>
              <w:rPr>
                <w:rFonts w:hint="default" w:ascii="Times New Roman" w:hAnsi="Times New Roman"/>
                <w:color w:val="auto"/>
                <w:highlight w:val="none"/>
              </w:rPr>
              <w:t>电气线路敷设、电气设备使用不规范，存在以下情形之一的，扣3分:</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a电器设备超负荷使用；</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b用铜丝、铁丝等代替保险丝；</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c电热炉、电加热器、电暖器、电饭锅、电熨斗、电热毯等电热器具使用后未采取拔出电源插销等切断电源的措施；</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d对产生高温或使用明火的设备，未限制周围可燃物或使用期间未设专人监护；</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e未安装新型防短路、防过载、防电弧断路保护开关并选用合格电气产品的；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f未安装智慧用电探测装置、传输终端和监测平台的；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g供、用电线路未根据国家电气技术标准，采取穿金属管、封闭式金属线槽或者绝缘阻燃PVC电工套管保护措施的；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h强电线路未按规定使用阻燃电缆或电气线路违规使用易燃电线电缆的；</w:t>
            </w:r>
          </w:p>
          <w:p>
            <w:pPr>
              <w:spacing w:line="320" w:lineRule="exact"/>
              <w:jc w:val="left"/>
              <w:rPr>
                <w:rFonts w:hint="default" w:ascii="Times New Roman" w:hAnsi="Times New Roman"/>
                <w:color w:val="auto"/>
                <w:kern w:val="2"/>
                <w:sz w:val="21"/>
                <w:szCs w:val="22"/>
                <w:highlight w:val="none"/>
              </w:rPr>
            </w:pPr>
            <w:r>
              <w:rPr>
                <w:rFonts w:hint="default" w:ascii="Times New Roman" w:hAnsi="Times New Roman"/>
                <w:color w:val="auto"/>
                <w:highlight w:val="none"/>
              </w:rPr>
              <w:t>i开关、电闸、配电箱未使用符合国家市场准入电气产品的；</w:t>
            </w:r>
            <w:r>
              <w:rPr>
                <w:rFonts w:hint="default" w:ascii="Times New Roman" w:hAnsi="Times New Roman"/>
                <w:color w:val="auto"/>
                <w:highlight w:val="none"/>
                <w:lang w:val="en-US" w:eastAsia="zh-CN"/>
              </w:rPr>
              <w:t>j</w:t>
            </w:r>
            <w:r>
              <w:rPr>
                <w:rFonts w:hint="default" w:ascii="Times New Roman" w:hAnsi="Times New Roman"/>
                <w:color w:val="auto"/>
                <w:kern w:val="2"/>
                <w:sz w:val="21"/>
                <w:szCs w:val="22"/>
                <w:highlight w:val="none"/>
              </w:rPr>
              <w:t>私拉电线、乱装插座为电动自行车充电</w:t>
            </w:r>
            <w:r>
              <w:rPr>
                <w:rFonts w:hint="default" w:ascii="Times New Roman" w:hAnsi="Times New Roman"/>
                <w:color w:val="auto"/>
                <w:kern w:val="2"/>
                <w:sz w:val="21"/>
                <w:szCs w:val="22"/>
                <w:highlight w:val="none"/>
                <w:lang w:val="en-US" w:eastAsia="zh-CN"/>
              </w:rPr>
              <w:t>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k</w:t>
            </w:r>
            <w:r>
              <w:rPr>
                <w:rFonts w:hint="default" w:ascii="Times New Roman" w:hAnsi="Times New Roman"/>
                <w:color w:val="auto"/>
                <w:highlight w:val="none"/>
              </w:rPr>
              <w:t>未聘请具备资质的电气检测服务机构实施线路检测，落实电气线路年度全面检测和日常维护保养，并及时更换老化损坏的电气线路的；</w:t>
            </w:r>
          </w:p>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l</w:t>
            </w:r>
            <w:r>
              <w:rPr>
                <w:rFonts w:hint="default" w:ascii="Times New Roman" w:hAnsi="Times New Roman"/>
                <w:color w:val="auto"/>
                <w:highlight w:val="none"/>
              </w:rPr>
              <w:t>存在其他不符合广东省地方标准《建筑电气防火检测技术规程》（DBJ/T 15—123—2018）具体要求的问题。</w:t>
            </w:r>
          </w:p>
        </w:tc>
        <w:tc>
          <w:tcPr>
            <w:tcW w:w="1527" w:type="dxa"/>
            <w:noWrap w:val="0"/>
            <w:vAlign w:val="center"/>
          </w:tcPr>
          <w:p>
            <w:pPr>
              <w:spacing w:line="320" w:lineRule="exact"/>
              <w:jc w:val="center"/>
              <w:rPr>
                <w:rFonts w:hint="default" w:ascii="Times New Roman" w:hAnsi="Times New Roman"/>
                <w:color w:val="auto"/>
                <w:highlight w:val="none"/>
              </w:rPr>
            </w:pPr>
            <w:r>
              <w:rPr>
                <w:rFonts w:hint="default" w:ascii="Times New Roman" w:hAnsi="Times New Roman"/>
                <w:color w:val="auto"/>
                <w:highlight w:val="none"/>
              </w:rPr>
              <w:t>实地查看</w:t>
            </w:r>
          </w:p>
        </w:tc>
        <w:tc>
          <w:tcPr>
            <w:tcW w:w="1106" w:type="dxa"/>
            <w:vMerge w:val="continue"/>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hint="default"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2</w:t>
            </w:r>
            <w:r>
              <w:rPr>
                <w:rFonts w:hint="default" w:ascii="Times New Roman" w:hAnsi="Times New Roman"/>
                <w:color w:val="auto"/>
                <w:highlight w:val="none"/>
              </w:rPr>
              <w:t>.未开展一次电气和燃气线路设施检测和维修的，扣5分。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8</w:t>
            </w:r>
            <w:r>
              <w:rPr>
                <w:rFonts w:ascii="Times New Roman" w:hAnsi="Times New Roman"/>
                <w:color w:val="auto"/>
                <w:highlight w:val="none"/>
              </w:rPr>
              <w:t>.用火、动火是否符合要求</w:t>
            </w: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3</w:t>
            </w:r>
            <w:r>
              <w:rPr>
                <w:rFonts w:hint="default" w:ascii="Times New Roman" w:hAnsi="Times New Roman"/>
                <w:color w:val="auto"/>
                <w:highlight w:val="none"/>
              </w:rPr>
              <w:t>.未</w:t>
            </w:r>
            <w:r>
              <w:rPr>
                <w:rFonts w:ascii="Times New Roman" w:hAnsi="Times New Roman"/>
                <w:color w:val="auto"/>
                <w:highlight w:val="none"/>
              </w:rPr>
              <w:t>制定并严格执行用火安全管理制度</w:t>
            </w:r>
            <w:r>
              <w:rPr>
                <w:rFonts w:hint="default" w:ascii="Times New Roman" w:hAnsi="Times New Roman"/>
                <w:color w:val="auto"/>
                <w:highlight w:val="none"/>
              </w:rPr>
              <w:t>的，扣3分。</w:t>
            </w:r>
          </w:p>
        </w:tc>
        <w:tc>
          <w:tcPr>
            <w:tcW w:w="1527" w:type="dxa"/>
            <w:noWrap w:val="0"/>
            <w:vAlign w:val="center"/>
          </w:tcPr>
          <w:p>
            <w:pPr>
              <w:spacing w:line="320" w:lineRule="exact"/>
              <w:jc w:val="center"/>
              <w:rPr>
                <w:rFonts w:hint="default" w:ascii="Times New Roman" w:hAnsi="Times New Roman"/>
                <w:color w:val="auto"/>
                <w:highlight w:val="none"/>
              </w:rPr>
            </w:pPr>
            <w:r>
              <w:rPr>
                <w:rFonts w:ascii="Times New Roman" w:hAnsi="Times New Roman"/>
                <w:color w:val="auto"/>
                <w:highlight w:val="none"/>
              </w:rPr>
              <w:t>查看资料</w:t>
            </w:r>
          </w:p>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vMerge w:val="restart"/>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hint="default"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4</w:t>
            </w:r>
            <w:r>
              <w:rPr>
                <w:rFonts w:hint="default" w:ascii="Times New Roman" w:hAnsi="Times New Roman"/>
                <w:color w:val="auto"/>
                <w:highlight w:val="none"/>
              </w:rPr>
              <w:t>.</w:t>
            </w:r>
            <w:r>
              <w:rPr>
                <w:rFonts w:ascii="Times New Roman" w:hAnsi="Times New Roman"/>
                <w:color w:val="auto"/>
                <w:highlight w:val="none"/>
              </w:rPr>
              <w:t>建筑整体营业期间存在局部区域违章动火施工现象</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vMerge w:val="continue"/>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9.是否设置客流监控设备</w:t>
            </w: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5</w:t>
            </w:r>
            <w:r>
              <w:rPr>
                <w:rFonts w:hint="default" w:ascii="Times New Roman" w:hAnsi="Times New Roman"/>
                <w:color w:val="auto"/>
                <w:highlight w:val="none"/>
              </w:rPr>
              <w:t>.未</w:t>
            </w:r>
            <w:r>
              <w:rPr>
                <w:rFonts w:ascii="Times New Roman" w:hAnsi="Times New Roman"/>
                <w:color w:val="auto"/>
                <w:highlight w:val="none"/>
              </w:rPr>
              <w:t>在主要进出口、人员密集部位安装客流监控设备</w:t>
            </w:r>
            <w:r>
              <w:rPr>
                <w:rFonts w:hint="default" w:ascii="Times New Roman" w:hAnsi="Times New Roman"/>
                <w:color w:val="auto"/>
                <w:highlight w:val="none"/>
              </w:rPr>
              <w:t>的，扣2分。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noWrap w:val="0"/>
            <w:vAlign w:val="center"/>
          </w:tcPr>
          <w:p>
            <w:pPr>
              <w:spacing w:line="320" w:lineRule="exact"/>
              <w:ind w:right="-107"/>
              <w:jc w:val="left"/>
              <w:rPr>
                <w:rFonts w:hint="default" w:ascii="Times New Roman" w:hAnsi="Times New Roman"/>
                <w:color w:val="auto"/>
                <w:highlight w:val="none"/>
              </w:rPr>
            </w:pPr>
            <w:r>
              <w:rPr>
                <w:rFonts w:hint="default" w:ascii="Times New Roman" w:hAnsi="Times New Roman"/>
                <w:color w:val="auto"/>
                <w:highlight w:val="none"/>
              </w:rPr>
              <w:t>10.是否开展</w:t>
            </w:r>
            <w:r>
              <w:rPr>
                <w:rFonts w:ascii="Times New Roman" w:hAnsi="Times New Roman"/>
                <w:color w:val="auto"/>
                <w:highlight w:val="none"/>
              </w:rPr>
              <w:t>油烟管道全面清洗</w:t>
            </w: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6</w:t>
            </w:r>
            <w:r>
              <w:rPr>
                <w:rFonts w:hint="default" w:ascii="Times New Roman" w:hAnsi="Times New Roman"/>
                <w:color w:val="auto"/>
                <w:highlight w:val="none"/>
              </w:rPr>
              <w:t>.未</w:t>
            </w:r>
            <w:r>
              <w:rPr>
                <w:rFonts w:ascii="Times New Roman" w:hAnsi="Times New Roman"/>
                <w:color w:val="auto"/>
                <w:highlight w:val="none"/>
              </w:rPr>
              <w:t>开展一次油烟管道全面清洗</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noWrap w:val="0"/>
            <w:vAlign w:val="center"/>
          </w:tcPr>
          <w:p>
            <w:pPr>
              <w:spacing w:line="320" w:lineRule="exact"/>
              <w:ind w:right="-107"/>
              <w:jc w:val="left"/>
              <w:rPr>
                <w:rFonts w:hint="default" w:ascii="Times New Roman" w:hAnsi="Times New Roman"/>
                <w:color w:val="auto"/>
                <w:highlight w:val="none"/>
              </w:rPr>
            </w:pPr>
            <w:r>
              <w:rPr>
                <w:rFonts w:hint="default" w:ascii="Times New Roman" w:hAnsi="Times New Roman"/>
                <w:color w:val="auto"/>
                <w:highlight w:val="none"/>
              </w:rPr>
              <w:t>11.是否开展建筑电缆井、管道井集中清理</w:t>
            </w: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7</w:t>
            </w:r>
            <w:r>
              <w:rPr>
                <w:rFonts w:hint="default" w:ascii="Times New Roman" w:hAnsi="Times New Roman"/>
                <w:color w:val="auto"/>
                <w:highlight w:val="none"/>
              </w:rPr>
              <w:t>.未</w:t>
            </w:r>
            <w:r>
              <w:rPr>
                <w:rFonts w:ascii="Times New Roman" w:hAnsi="Times New Roman"/>
                <w:color w:val="auto"/>
                <w:highlight w:val="none"/>
              </w:rPr>
              <w:t>开展一次建筑电缆井、管道井集中清理</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b/>
                <w:color w:val="auto"/>
                <w:kern w:val="0"/>
                <w:sz w:val="24"/>
                <w:highlight w:val="none"/>
              </w:rPr>
            </w:pPr>
            <w:r>
              <w:rPr>
                <w:rFonts w:ascii="Times New Roman" w:hAnsi="Times New Roman"/>
                <w:b/>
                <w:color w:val="auto"/>
                <w:kern w:val="0"/>
                <w:sz w:val="24"/>
                <w:highlight w:val="none"/>
              </w:rPr>
              <w:t>安全疏散设施</w:t>
            </w:r>
          </w:p>
          <w:p>
            <w:pPr>
              <w:widowControl/>
              <w:jc w:val="center"/>
              <w:rPr>
                <w:rFonts w:hint="default" w:ascii="Times New Roman" w:hAnsi="Times New Roman"/>
                <w:b/>
                <w:color w:val="auto"/>
                <w:kern w:val="0"/>
                <w:sz w:val="24"/>
                <w:highlight w:val="none"/>
              </w:rPr>
            </w:pPr>
            <w:r>
              <w:rPr>
                <w:rFonts w:hint="default" w:ascii="Times New Roman" w:hAnsi="Times New Roman"/>
                <w:b/>
                <w:color w:val="auto"/>
                <w:kern w:val="0"/>
                <w:sz w:val="24"/>
                <w:highlight w:val="none"/>
              </w:rPr>
              <w:t>（20分）</w:t>
            </w: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hint="default" w:ascii="Times New Roman" w:hAnsi="Times New Roman"/>
                <w:color w:val="auto"/>
                <w:highlight w:val="none"/>
              </w:rPr>
              <w:t>12</w:t>
            </w:r>
            <w:r>
              <w:rPr>
                <w:rFonts w:ascii="Times New Roman" w:hAnsi="Times New Roman"/>
                <w:color w:val="auto"/>
                <w:highlight w:val="none"/>
              </w:rPr>
              <w:t>.安全疏散设施及管理是否符合要求</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28</w:t>
            </w:r>
            <w:r>
              <w:rPr>
                <w:rFonts w:hint="default" w:ascii="Times New Roman" w:hAnsi="Times New Roman"/>
                <w:color w:val="auto"/>
                <w:highlight w:val="none"/>
              </w:rPr>
              <w:t>.疏散楼梯、安全出口设置数量或形式不符合国家消防技术规范要求，扣15分。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29</w:t>
            </w:r>
            <w:r>
              <w:rPr>
                <w:rFonts w:hint="default" w:ascii="Times New Roman" w:hAnsi="Times New Roman"/>
                <w:color w:val="auto"/>
                <w:highlight w:val="none"/>
              </w:rPr>
              <w:t>.</w:t>
            </w:r>
            <w:r>
              <w:rPr>
                <w:rFonts w:ascii="Times New Roman" w:hAnsi="Times New Roman"/>
                <w:color w:val="auto"/>
                <w:highlight w:val="none"/>
              </w:rPr>
              <w:t>占用、堵塞、封闭疏散通道、安全出口的</w:t>
            </w:r>
            <w:r>
              <w:rPr>
                <w:rFonts w:hint="default" w:ascii="Times New Roman" w:hAnsi="Times New Roman"/>
                <w:color w:val="auto"/>
                <w:highlight w:val="none"/>
              </w:rPr>
              <w:t>，扣10分。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rPr>
                <w:rFonts w:hint="default" w:ascii="Times New Roman" w:hAnsi="Times New Roman"/>
                <w:color w:val="auto"/>
                <w:highlight w:val="none"/>
              </w:rPr>
            </w:pPr>
            <w:r>
              <w:rPr>
                <w:rFonts w:hint="default" w:ascii="Times New Roman" w:hAnsi="Times New Roman"/>
                <w:color w:val="auto"/>
                <w:highlight w:val="none"/>
                <w:lang w:val="en-US" w:eastAsia="zh-CN"/>
              </w:rPr>
              <w:t>30</w:t>
            </w:r>
            <w:r>
              <w:rPr>
                <w:rFonts w:hint="default" w:ascii="Times New Roman" w:hAnsi="Times New Roman"/>
                <w:color w:val="auto"/>
                <w:highlight w:val="none"/>
              </w:rPr>
              <w:t>.疏散指示标识、应急照明灯具、事故广播等疏散辅助消防设施不能正常工作或被遮挡，或存在毁损、缺失现象的，扣5分。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该项存在问题的设施数量超过场所同类设施总数5%（含）的，按照直接</w:t>
            </w:r>
            <w:r>
              <w:rPr>
                <w:rFonts w:ascii="Times New Roman" w:hAnsi="Times New Roman"/>
                <w:color w:val="auto"/>
                <w:highlight w:val="none"/>
              </w:rPr>
              <w:t>扣分项</w:t>
            </w:r>
            <w:r>
              <w:rPr>
                <w:rFonts w:hint="default" w:ascii="Times New Roman" w:hAnsi="Times New Roman"/>
                <w:color w:val="auto"/>
                <w:highlight w:val="none"/>
              </w:rPr>
              <w:t>第4项第二种情形处理，在实地评估得分中扣2分。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rPr>
                <w:rFonts w:hint="default"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1</w:t>
            </w:r>
            <w:r>
              <w:rPr>
                <w:rFonts w:hint="default" w:ascii="Times New Roman" w:hAnsi="Times New Roman"/>
                <w:color w:val="auto"/>
                <w:highlight w:val="none"/>
              </w:rPr>
              <w:t>.疏散通道、安全出口的</w:t>
            </w:r>
            <w:r>
              <w:rPr>
                <w:rFonts w:ascii="Times New Roman" w:hAnsi="Times New Roman"/>
                <w:color w:val="auto"/>
                <w:highlight w:val="none"/>
              </w:rPr>
              <w:t>防火门未保持完好有效的，扣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2</w:t>
            </w:r>
            <w:r>
              <w:rPr>
                <w:rFonts w:hint="default" w:ascii="Times New Roman" w:hAnsi="Times New Roman"/>
                <w:color w:val="auto"/>
                <w:highlight w:val="none"/>
              </w:rPr>
              <w:t>.</w:t>
            </w:r>
            <w:r>
              <w:rPr>
                <w:rFonts w:ascii="Times New Roman" w:hAnsi="Times New Roman"/>
                <w:color w:val="auto"/>
                <w:highlight w:val="none"/>
              </w:rPr>
              <w:t>未在明显位置设置安全疏散指示图的，</w:t>
            </w:r>
            <w:r>
              <w:rPr>
                <w:rFonts w:hint="default" w:ascii="Times New Roman" w:hAnsi="Times New Roman"/>
                <w:color w:val="auto"/>
                <w:highlight w:val="none"/>
              </w:rPr>
              <w:t>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3</w:t>
            </w:r>
            <w:r>
              <w:rPr>
                <w:rFonts w:hint="default" w:ascii="Times New Roman" w:hAnsi="Times New Roman"/>
                <w:color w:val="auto"/>
                <w:highlight w:val="none"/>
              </w:rPr>
              <w:t>.内部公共区域、疏散走道和疏散楼梯间存在电动自行车违规停放或充电，发现一处扣5分，扣完10分为止。</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4</w:t>
            </w:r>
            <w:r>
              <w:rPr>
                <w:rFonts w:hint="default" w:ascii="Times New Roman" w:hAnsi="Times New Roman"/>
                <w:color w:val="auto"/>
                <w:highlight w:val="none"/>
              </w:rPr>
              <w:t>.建筑外墙违规设置影响逃生、自然排烟和灭火救援的障碍物的，扣5分。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354" w:type="dxa"/>
            <w:vMerge w:val="restart"/>
            <w:noWrap w:val="0"/>
            <w:vAlign w:val="center"/>
          </w:tcPr>
          <w:p>
            <w:pPr>
              <w:widowControl/>
              <w:jc w:val="center"/>
              <w:rPr>
                <w:rFonts w:hint="default" w:ascii="Times New Roman" w:hAnsi="Times New Roman"/>
                <w:b/>
                <w:color w:val="auto"/>
                <w:kern w:val="0"/>
                <w:sz w:val="24"/>
                <w:highlight w:val="none"/>
              </w:rPr>
            </w:pPr>
            <w:r>
              <w:rPr>
                <w:rFonts w:ascii="Times New Roman" w:hAnsi="Times New Roman"/>
                <w:b/>
                <w:color w:val="auto"/>
                <w:kern w:val="0"/>
                <w:sz w:val="24"/>
                <w:highlight w:val="none"/>
              </w:rPr>
              <w:t>平面</w:t>
            </w:r>
          </w:p>
          <w:p>
            <w:pPr>
              <w:widowControl/>
              <w:jc w:val="center"/>
              <w:rPr>
                <w:rFonts w:hint="default" w:ascii="Times New Roman" w:hAnsi="Times New Roman"/>
                <w:b/>
                <w:color w:val="auto"/>
                <w:kern w:val="0"/>
                <w:sz w:val="24"/>
                <w:highlight w:val="none"/>
              </w:rPr>
            </w:pPr>
            <w:r>
              <w:rPr>
                <w:rFonts w:ascii="Times New Roman" w:hAnsi="Times New Roman"/>
                <w:b/>
                <w:color w:val="auto"/>
                <w:kern w:val="0"/>
                <w:sz w:val="24"/>
                <w:highlight w:val="none"/>
              </w:rPr>
              <w:t>布置</w:t>
            </w:r>
          </w:p>
          <w:p>
            <w:pPr>
              <w:widowControl/>
              <w:jc w:val="center"/>
              <w:rPr>
                <w:rFonts w:hint="default" w:ascii="Times New Roman" w:hAnsi="Times New Roman"/>
                <w:b/>
                <w:color w:val="auto"/>
                <w:kern w:val="0"/>
                <w:sz w:val="24"/>
                <w:highlight w:val="none"/>
              </w:rPr>
            </w:pPr>
            <w:r>
              <w:rPr>
                <w:rFonts w:hint="default" w:ascii="Times New Roman" w:hAnsi="Times New Roman"/>
                <w:b/>
                <w:color w:val="auto"/>
                <w:kern w:val="0"/>
                <w:sz w:val="24"/>
                <w:highlight w:val="none"/>
              </w:rPr>
              <w:t>（10分）</w:t>
            </w:r>
          </w:p>
        </w:tc>
        <w:tc>
          <w:tcPr>
            <w:tcW w:w="4491" w:type="dxa"/>
            <w:vMerge w:val="restart"/>
            <w:noWrap w:val="0"/>
            <w:vAlign w:val="center"/>
          </w:tcPr>
          <w:p>
            <w:pPr>
              <w:spacing w:line="320" w:lineRule="exact"/>
              <w:ind w:right="-107"/>
              <w:jc w:val="left"/>
              <w:rPr>
                <w:rFonts w:hint="default" w:ascii="Times New Roman" w:hAnsi="Times New Roman"/>
                <w:color w:val="auto"/>
                <w:highlight w:val="none"/>
              </w:rPr>
            </w:pPr>
            <w:r>
              <w:rPr>
                <w:rFonts w:hint="default" w:ascii="Times New Roman" w:hAnsi="Times New Roman"/>
                <w:color w:val="auto"/>
                <w:highlight w:val="none"/>
              </w:rPr>
              <w:t>13.平面布置是否符合要求</w:t>
            </w: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5</w:t>
            </w:r>
            <w:r>
              <w:rPr>
                <w:rFonts w:ascii="Times New Roman" w:hAnsi="Times New Roman"/>
                <w:color w:val="auto"/>
                <w:highlight w:val="none"/>
              </w:rPr>
              <w:t>.平面布置</w:t>
            </w:r>
            <w:r>
              <w:rPr>
                <w:rFonts w:hint="default" w:ascii="Times New Roman" w:hAnsi="Times New Roman"/>
                <w:color w:val="auto"/>
                <w:highlight w:val="none"/>
              </w:rPr>
              <w:t>与</w:t>
            </w:r>
            <w:r>
              <w:rPr>
                <w:rFonts w:ascii="Times New Roman" w:hAnsi="Times New Roman"/>
                <w:color w:val="auto"/>
                <w:highlight w:val="none"/>
              </w:rPr>
              <w:t>消防行政许可档案图纸</w:t>
            </w:r>
            <w:r>
              <w:rPr>
                <w:rFonts w:hint="default" w:ascii="Times New Roman" w:hAnsi="Times New Roman"/>
                <w:color w:val="auto"/>
                <w:highlight w:val="none"/>
              </w:rPr>
              <w:t>不</w:t>
            </w:r>
            <w:r>
              <w:rPr>
                <w:rFonts w:ascii="Times New Roman" w:hAnsi="Times New Roman"/>
                <w:color w:val="auto"/>
                <w:highlight w:val="none"/>
              </w:rPr>
              <w:t>相符</w:t>
            </w:r>
            <w:r>
              <w:rPr>
                <w:rFonts w:hint="default" w:ascii="Times New Roman" w:hAnsi="Times New Roman"/>
                <w:color w:val="auto"/>
                <w:highlight w:val="none"/>
              </w:rPr>
              <w:t>的，发现一处扣5分，扣完10分为止</w:t>
            </w:r>
            <w:r>
              <w:rPr>
                <w:rFonts w:ascii="Times New Roman" w:hAnsi="Times New Roman"/>
                <w:color w:val="auto"/>
                <w:highlight w:val="none"/>
              </w:rPr>
              <w:t>。</w:t>
            </w:r>
          </w:p>
        </w:tc>
        <w:tc>
          <w:tcPr>
            <w:tcW w:w="1527" w:type="dxa"/>
            <w:noWrap w:val="0"/>
            <w:vAlign w:val="center"/>
          </w:tcPr>
          <w:p>
            <w:pPr>
              <w:spacing w:line="320" w:lineRule="exact"/>
              <w:jc w:val="center"/>
              <w:rPr>
                <w:rFonts w:hint="default" w:ascii="Times New Roman" w:hAnsi="Times New Roman"/>
                <w:color w:val="auto"/>
                <w:highlight w:val="none"/>
              </w:rPr>
            </w:pPr>
            <w:r>
              <w:rPr>
                <w:rFonts w:ascii="Times New Roman" w:hAnsi="Times New Roman"/>
                <w:color w:val="auto"/>
                <w:highlight w:val="none"/>
              </w:rPr>
              <w:t>查看资料</w:t>
            </w:r>
          </w:p>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6</w:t>
            </w:r>
            <w:r>
              <w:rPr>
                <w:rFonts w:ascii="Times New Roman" w:hAnsi="Times New Roman"/>
                <w:color w:val="auto"/>
                <w:highlight w:val="none"/>
              </w:rPr>
              <w:t>.经专家评审的建筑</w:t>
            </w:r>
            <w:r>
              <w:rPr>
                <w:rFonts w:hint="default" w:ascii="Times New Roman" w:hAnsi="Times New Roman"/>
                <w:color w:val="auto"/>
                <w:highlight w:val="none"/>
              </w:rPr>
              <w:t>，未</w:t>
            </w:r>
            <w:r>
              <w:rPr>
                <w:rFonts w:ascii="Times New Roman" w:hAnsi="Times New Roman"/>
                <w:color w:val="auto"/>
                <w:highlight w:val="none"/>
              </w:rPr>
              <w:t>照单落实专家评审意见、消防性能化设计方案所列特殊技术要求</w:t>
            </w:r>
            <w:r>
              <w:rPr>
                <w:rFonts w:hint="default" w:ascii="Times New Roman" w:hAnsi="Times New Roman"/>
                <w:color w:val="auto"/>
                <w:highlight w:val="none"/>
              </w:rPr>
              <w:t>的，发现一处扣5分，扣完10分为止</w:t>
            </w:r>
            <w:r>
              <w:rPr>
                <w:rFonts w:ascii="Times New Roman" w:hAnsi="Times New Roman"/>
                <w:color w:val="auto"/>
                <w:highlight w:val="none"/>
              </w:rPr>
              <w:t>。</w:t>
            </w:r>
          </w:p>
        </w:tc>
        <w:tc>
          <w:tcPr>
            <w:tcW w:w="1527" w:type="dxa"/>
            <w:noWrap w:val="0"/>
            <w:vAlign w:val="center"/>
          </w:tcPr>
          <w:p>
            <w:pPr>
              <w:spacing w:line="320" w:lineRule="exact"/>
              <w:jc w:val="center"/>
              <w:rPr>
                <w:rFonts w:hint="default" w:ascii="Times New Roman" w:hAnsi="Times New Roman"/>
                <w:color w:val="auto"/>
                <w:highlight w:val="none"/>
              </w:rPr>
            </w:pPr>
            <w:r>
              <w:rPr>
                <w:rFonts w:ascii="Times New Roman" w:hAnsi="Times New Roman"/>
                <w:color w:val="auto"/>
                <w:highlight w:val="none"/>
              </w:rPr>
              <w:t>查看资料</w:t>
            </w:r>
          </w:p>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7</w:t>
            </w:r>
            <w:r>
              <w:rPr>
                <w:rFonts w:ascii="Times New Roman" w:hAnsi="Times New Roman"/>
                <w:color w:val="auto"/>
                <w:highlight w:val="none"/>
              </w:rPr>
              <w:t>.商业配套仓储区</w:t>
            </w:r>
            <w:r>
              <w:rPr>
                <w:rFonts w:hint="default" w:ascii="Times New Roman" w:hAnsi="Times New Roman"/>
                <w:color w:val="auto"/>
                <w:highlight w:val="none"/>
              </w:rPr>
              <w:t>未</w:t>
            </w:r>
            <w:r>
              <w:rPr>
                <w:rFonts w:ascii="Times New Roman" w:hAnsi="Times New Roman"/>
                <w:color w:val="auto"/>
                <w:highlight w:val="none"/>
              </w:rPr>
              <w:t>设置独立防火分区</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38</w:t>
            </w:r>
            <w:r>
              <w:rPr>
                <w:rFonts w:ascii="Times New Roman" w:hAnsi="Times New Roman"/>
                <w:color w:val="auto"/>
                <w:highlight w:val="none"/>
              </w:rPr>
              <w:t>.消防控制室</w:t>
            </w:r>
            <w:r>
              <w:rPr>
                <w:rFonts w:hint="default" w:ascii="Times New Roman" w:hAnsi="Times New Roman"/>
                <w:color w:val="auto"/>
                <w:highlight w:val="none"/>
              </w:rPr>
              <w:t>不</w:t>
            </w:r>
            <w:r>
              <w:rPr>
                <w:rFonts w:ascii="Times New Roman" w:hAnsi="Times New Roman"/>
                <w:color w:val="auto"/>
                <w:highlight w:val="none"/>
              </w:rPr>
              <w:t>能直通室外</w:t>
            </w:r>
            <w:r>
              <w:rPr>
                <w:rFonts w:hint="default" w:ascii="Times New Roman" w:hAnsi="Times New Roman"/>
                <w:color w:val="auto"/>
                <w:highlight w:val="none"/>
              </w:rPr>
              <w:t>的，扣3分。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39</w:t>
            </w:r>
            <w:r>
              <w:rPr>
                <w:rFonts w:ascii="Times New Roman" w:hAnsi="Times New Roman"/>
                <w:color w:val="auto"/>
                <w:highlight w:val="none"/>
              </w:rPr>
              <w:t>.天面存在违章搭建</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0</w:t>
            </w:r>
            <w:r>
              <w:rPr>
                <w:rFonts w:ascii="Times New Roman" w:hAnsi="Times New Roman"/>
                <w:color w:val="auto"/>
                <w:highlight w:val="none"/>
              </w:rPr>
              <w:t>.违规占用防火间距</w:t>
            </w:r>
            <w:r>
              <w:rPr>
                <w:rFonts w:hint="default" w:ascii="Times New Roman" w:hAnsi="Times New Roman"/>
                <w:color w:val="auto"/>
                <w:highlight w:val="none"/>
              </w:rPr>
              <w:t>的，扣3分</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1</w:t>
            </w:r>
            <w:r>
              <w:rPr>
                <w:rFonts w:ascii="Times New Roman" w:hAnsi="Times New Roman"/>
                <w:color w:val="auto"/>
                <w:highlight w:val="none"/>
              </w:rPr>
              <w:t>.违规占用</w:t>
            </w:r>
            <w:r>
              <w:rPr>
                <w:rFonts w:hint="default" w:ascii="Times New Roman" w:hAnsi="Times New Roman"/>
                <w:color w:val="auto"/>
                <w:highlight w:val="none"/>
              </w:rPr>
              <w:t>、</w:t>
            </w:r>
            <w:r>
              <w:rPr>
                <w:rFonts w:ascii="Times New Roman" w:hAnsi="Times New Roman"/>
                <w:color w:val="auto"/>
                <w:highlight w:val="none"/>
              </w:rPr>
              <w:t>堵塞消防车道</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2</w:t>
            </w:r>
            <w:r>
              <w:rPr>
                <w:rFonts w:ascii="Times New Roman" w:hAnsi="Times New Roman"/>
                <w:color w:val="auto"/>
                <w:highlight w:val="none"/>
              </w:rPr>
              <w:t>.天井擅自围闭且未设置排烟设施</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3</w:t>
            </w:r>
            <w:r>
              <w:rPr>
                <w:rFonts w:ascii="Times New Roman" w:hAnsi="Times New Roman"/>
                <w:color w:val="auto"/>
                <w:highlight w:val="none"/>
              </w:rPr>
              <w:t>.违规占用中庭或室内步行街</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4</w:t>
            </w:r>
            <w:r>
              <w:rPr>
                <w:rFonts w:ascii="Times New Roman" w:hAnsi="Times New Roman"/>
                <w:color w:val="auto"/>
                <w:highlight w:val="none"/>
              </w:rPr>
              <w:t>.建筑存在违规使用彩钢板搭建</w:t>
            </w:r>
            <w:r>
              <w:rPr>
                <w:rFonts w:hint="default" w:ascii="Times New Roman" w:hAnsi="Times New Roman"/>
                <w:color w:val="auto"/>
                <w:highlight w:val="none"/>
              </w:rPr>
              <w:t>的，发现一处扣5分，扣完10分为止。</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5</w:t>
            </w:r>
            <w:r>
              <w:rPr>
                <w:rFonts w:hint="default" w:ascii="Times New Roman" w:hAnsi="Times New Roman"/>
                <w:color w:val="auto"/>
                <w:highlight w:val="none"/>
              </w:rPr>
              <w:t>.其它场所平面布置不符合规范要求的，扣3分。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b/>
                <w:color w:val="auto"/>
                <w:kern w:val="0"/>
                <w:sz w:val="24"/>
                <w:highlight w:val="none"/>
              </w:rPr>
            </w:pPr>
            <w:r>
              <w:rPr>
                <w:rFonts w:ascii="Times New Roman" w:hAnsi="Times New Roman"/>
                <w:b/>
                <w:color w:val="auto"/>
                <w:kern w:val="0"/>
                <w:sz w:val="24"/>
                <w:highlight w:val="none"/>
              </w:rPr>
              <w:t>内部</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装修</w:t>
            </w:r>
          </w:p>
          <w:p>
            <w:pPr>
              <w:jc w:val="center"/>
              <w:rPr>
                <w:rFonts w:ascii="Times New Roman" w:hAnsi="Times New Roman"/>
                <w:b/>
                <w:color w:val="auto"/>
                <w:kern w:val="0"/>
                <w:sz w:val="24"/>
                <w:highlight w:val="none"/>
              </w:rPr>
            </w:pPr>
            <w:r>
              <w:rPr>
                <w:rFonts w:hint="default" w:ascii="Times New Roman" w:hAnsi="Times New Roman"/>
                <w:b/>
                <w:color w:val="auto"/>
                <w:kern w:val="0"/>
                <w:sz w:val="24"/>
                <w:highlight w:val="none"/>
              </w:rPr>
              <w:t>（5分）</w:t>
            </w: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hint="default" w:ascii="Times New Roman" w:hAnsi="Times New Roman"/>
                <w:color w:val="auto"/>
                <w:highlight w:val="none"/>
              </w:rPr>
              <w:t>14.内部装修是否符合要求</w:t>
            </w: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6</w:t>
            </w:r>
            <w:r>
              <w:rPr>
                <w:rFonts w:ascii="Times New Roman" w:hAnsi="Times New Roman"/>
                <w:color w:val="auto"/>
                <w:highlight w:val="none"/>
              </w:rPr>
              <w:t>.场所采用易燃可燃装修材料装修</w:t>
            </w:r>
            <w:r>
              <w:rPr>
                <w:rFonts w:hint="default" w:ascii="Times New Roman" w:hAnsi="Times New Roman"/>
                <w:color w:val="auto"/>
                <w:highlight w:val="none"/>
              </w:rPr>
              <w:t>的，扣3分。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7</w:t>
            </w:r>
            <w:r>
              <w:rPr>
                <w:rFonts w:ascii="Times New Roman" w:hAnsi="Times New Roman"/>
                <w:color w:val="auto"/>
                <w:highlight w:val="none"/>
              </w:rPr>
              <w:t>.特殊功能库房（如冷库）保温材料</w:t>
            </w:r>
            <w:r>
              <w:rPr>
                <w:rFonts w:hint="default" w:ascii="Times New Roman" w:hAnsi="Times New Roman"/>
                <w:color w:val="auto"/>
                <w:highlight w:val="none"/>
              </w:rPr>
              <w:t>不</w:t>
            </w:r>
            <w:r>
              <w:rPr>
                <w:rFonts w:ascii="Times New Roman" w:hAnsi="Times New Roman"/>
                <w:color w:val="auto"/>
                <w:highlight w:val="none"/>
              </w:rPr>
              <w:t>符合燃烧性能要求</w:t>
            </w:r>
            <w:r>
              <w:rPr>
                <w:rFonts w:hint="default" w:ascii="Times New Roman" w:hAnsi="Times New Roman"/>
                <w:color w:val="auto"/>
                <w:highlight w:val="none"/>
              </w:rPr>
              <w:t>的，扣5分</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54" w:type="dxa"/>
            <w:vMerge w:val="continue"/>
            <w:noWrap w:val="0"/>
            <w:vAlign w:val="center"/>
          </w:tcPr>
          <w:p>
            <w:pPr>
              <w:widowControl/>
              <w:jc w:val="center"/>
              <w:rPr>
                <w:rFonts w:hint="default"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48</w:t>
            </w:r>
            <w:r>
              <w:rPr>
                <w:rFonts w:ascii="Times New Roman" w:hAnsi="Times New Roman"/>
                <w:color w:val="auto"/>
                <w:highlight w:val="none"/>
              </w:rPr>
              <w:t>.内部装修改造擅自改变使用性质，导致建筑耐火等级、安全疏散、消防设施设置等不符合要求</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b/>
                <w:color w:val="auto"/>
                <w:kern w:val="0"/>
                <w:sz w:val="24"/>
                <w:highlight w:val="none"/>
              </w:rPr>
            </w:pPr>
            <w:r>
              <w:rPr>
                <w:rFonts w:ascii="Times New Roman" w:hAnsi="Times New Roman"/>
                <w:b/>
                <w:color w:val="auto"/>
                <w:kern w:val="0"/>
                <w:sz w:val="24"/>
                <w:highlight w:val="none"/>
              </w:rPr>
              <w:t>防火</w:t>
            </w:r>
          </w:p>
          <w:p>
            <w:pPr>
              <w:widowControl/>
              <w:jc w:val="center"/>
              <w:rPr>
                <w:rFonts w:hint="default" w:ascii="Times New Roman" w:hAnsi="Times New Roman"/>
                <w:b/>
                <w:color w:val="auto"/>
                <w:kern w:val="0"/>
                <w:sz w:val="24"/>
                <w:highlight w:val="none"/>
              </w:rPr>
            </w:pPr>
            <w:r>
              <w:rPr>
                <w:rFonts w:ascii="Times New Roman" w:hAnsi="Times New Roman"/>
                <w:b/>
                <w:color w:val="auto"/>
                <w:kern w:val="0"/>
                <w:sz w:val="24"/>
                <w:highlight w:val="none"/>
              </w:rPr>
              <w:t>分隔</w:t>
            </w:r>
          </w:p>
          <w:p>
            <w:pPr>
              <w:widowControl/>
              <w:jc w:val="center"/>
              <w:rPr>
                <w:rFonts w:hint="default" w:ascii="Times New Roman" w:hAnsi="Times New Roman"/>
                <w:b/>
                <w:color w:val="auto"/>
                <w:kern w:val="0"/>
                <w:sz w:val="24"/>
                <w:highlight w:val="none"/>
              </w:rPr>
            </w:pPr>
            <w:r>
              <w:rPr>
                <w:rFonts w:hint="default" w:ascii="Times New Roman" w:hAnsi="Times New Roman"/>
                <w:b/>
                <w:color w:val="auto"/>
                <w:kern w:val="0"/>
                <w:sz w:val="24"/>
                <w:highlight w:val="none"/>
              </w:rPr>
              <w:t>（15分）</w:t>
            </w: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hint="default" w:ascii="Times New Roman" w:hAnsi="Times New Roman"/>
                <w:color w:val="auto"/>
                <w:highlight w:val="none"/>
              </w:rPr>
              <w:t>15.</w:t>
            </w:r>
            <w:r>
              <w:rPr>
                <w:rFonts w:ascii="Times New Roman" w:hAnsi="Times New Roman"/>
                <w:color w:val="auto"/>
                <w:highlight w:val="none"/>
              </w:rPr>
              <w:t>防火分隔</w:t>
            </w:r>
            <w:r>
              <w:rPr>
                <w:rFonts w:hint="default" w:ascii="Times New Roman" w:hAnsi="Times New Roman"/>
                <w:color w:val="auto"/>
                <w:highlight w:val="none"/>
              </w:rPr>
              <w:t>是否符合要求</w:t>
            </w: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49</w:t>
            </w:r>
            <w:r>
              <w:rPr>
                <w:rFonts w:hint="default" w:ascii="Times New Roman" w:hAnsi="Times New Roman"/>
                <w:color w:val="auto"/>
                <w:highlight w:val="none"/>
              </w:rPr>
              <w:t>.</w:t>
            </w:r>
            <w:r>
              <w:rPr>
                <w:rFonts w:ascii="Times New Roman" w:hAnsi="Times New Roman"/>
                <w:color w:val="auto"/>
                <w:highlight w:val="none"/>
              </w:rPr>
              <w:t>经营</w:t>
            </w:r>
            <w:r>
              <w:rPr>
                <w:rFonts w:hint="default" w:ascii="Times New Roman" w:hAnsi="Times New Roman"/>
                <w:color w:val="auto"/>
                <w:highlight w:val="none"/>
              </w:rPr>
              <w:t>场所</w:t>
            </w:r>
            <w:r>
              <w:rPr>
                <w:rFonts w:ascii="Times New Roman" w:hAnsi="Times New Roman"/>
                <w:color w:val="auto"/>
                <w:highlight w:val="none"/>
              </w:rPr>
              <w:t>与居住场所设置在同一建筑物内，不符合消防技术标准的，扣</w:t>
            </w:r>
            <w:r>
              <w:rPr>
                <w:rFonts w:hint="default" w:ascii="Times New Roman" w:hAnsi="Times New Roman"/>
                <w:color w:val="auto"/>
                <w:highlight w:val="none"/>
              </w:rPr>
              <w:t>15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jc w:val="center"/>
              <w:rPr>
                <w:rFonts w:hint="default"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rPr>
                <w:rFonts w:hint="default" w:ascii="Times New Roman" w:hAnsi="Times New Roman"/>
                <w:color w:val="auto"/>
                <w:highlight w:val="none"/>
              </w:rPr>
            </w:pPr>
            <w:r>
              <w:rPr>
                <w:rFonts w:hint="default" w:ascii="Times New Roman" w:hAnsi="Times New Roman"/>
                <w:color w:val="auto"/>
                <w:highlight w:val="none"/>
              </w:rPr>
              <w:t>5</w:t>
            </w:r>
            <w:r>
              <w:rPr>
                <w:rFonts w:hint="default" w:ascii="Times New Roman" w:hAnsi="Times New Roman"/>
                <w:color w:val="auto"/>
                <w:highlight w:val="none"/>
                <w:lang w:val="en-US" w:eastAsia="zh-CN"/>
              </w:rPr>
              <w:t>0</w:t>
            </w:r>
            <w:r>
              <w:rPr>
                <w:rFonts w:hint="default" w:ascii="Times New Roman" w:hAnsi="Times New Roman"/>
                <w:color w:val="auto"/>
                <w:highlight w:val="none"/>
              </w:rPr>
              <w:t>.防火分区或防火分隔设施存在以下任意一种情况的扣5分：</w:t>
            </w:r>
          </w:p>
          <w:p>
            <w:pPr>
              <w:rPr>
                <w:rFonts w:hint="default" w:ascii="Times New Roman" w:hAnsi="Times New Roman"/>
                <w:color w:val="auto"/>
                <w:highlight w:val="none"/>
              </w:rPr>
            </w:pPr>
            <w:r>
              <w:rPr>
                <w:rFonts w:hint="default" w:ascii="Times New Roman" w:hAnsi="Times New Roman"/>
                <w:color w:val="auto"/>
                <w:highlight w:val="none"/>
              </w:rPr>
              <w:t>a.擅自改变防火分区或防火分区的设置不符合规范要求;</w:t>
            </w:r>
          </w:p>
          <w:p>
            <w:pPr>
              <w:rPr>
                <w:rFonts w:hint="default" w:ascii="Times New Roman" w:hAnsi="Times New Roman"/>
                <w:color w:val="auto"/>
                <w:highlight w:val="none"/>
              </w:rPr>
            </w:pPr>
            <w:r>
              <w:rPr>
                <w:rFonts w:hint="default" w:ascii="Times New Roman" w:hAnsi="Times New Roman"/>
                <w:color w:val="auto"/>
                <w:highlight w:val="none"/>
              </w:rPr>
              <w:t>b.</w:t>
            </w:r>
            <w:r>
              <w:rPr>
                <w:rFonts w:ascii="Times New Roman" w:hAnsi="Times New Roman"/>
                <w:color w:val="auto"/>
                <w:highlight w:val="none"/>
              </w:rPr>
              <w:t>防火分区竖向及横向分隔</w:t>
            </w:r>
            <w:r>
              <w:rPr>
                <w:rFonts w:hint="default" w:ascii="Times New Roman" w:hAnsi="Times New Roman"/>
                <w:color w:val="auto"/>
                <w:highlight w:val="none"/>
              </w:rPr>
              <w:t>不</w:t>
            </w:r>
            <w:r>
              <w:rPr>
                <w:rFonts w:ascii="Times New Roman" w:hAnsi="Times New Roman"/>
                <w:color w:val="auto"/>
                <w:highlight w:val="none"/>
              </w:rPr>
              <w:t>到位</w:t>
            </w:r>
            <w:r>
              <w:rPr>
                <w:rFonts w:hint="default" w:ascii="Times New Roman" w:hAnsi="Times New Roman"/>
                <w:color w:val="auto"/>
                <w:highlight w:val="none"/>
              </w:rPr>
              <w:t>;</w:t>
            </w:r>
          </w:p>
          <w:p>
            <w:pPr>
              <w:rPr>
                <w:rFonts w:hint="default" w:ascii="Times New Roman" w:hAnsi="Times New Roman"/>
                <w:color w:val="auto"/>
                <w:highlight w:val="none"/>
              </w:rPr>
            </w:pPr>
            <w:r>
              <w:rPr>
                <w:rFonts w:hint="default" w:ascii="Times New Roman" w:hAnsi="Times New Roman"/>
                <w:color w:val="auto"/>
                <w:highlight w:val="none"/>
              </w:rPr>
              <w:t>c.拆除或改变防火分隔设施；</w:t>
            </w:r>
          </w:p>
          <w:p>
            <w:pPr>
              <w:rPr>
                <w:rFonts w:ascii="Times New Roman" w:hAnsi="Times New Roman"/>
                <w:color w:val="auto"/>
                <w:highlight w:val="none"/>
              </w:rPr>
            </w:pPr>
            <w:r>
              <w:rPr>
                <w:rFonts w:hint="default" w:ascii="Times New Roman" w:hAnsi="Times New Roman"/>
                <w:color w:val="auto"/>
                <w:highlight w:val="none"/>
              </w:rPr>
              <w:t>d.防火卷帘、防火隔间、防火门等防火分隔设施不能正常运行的（如损坏、被阻挡等）。</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5</w:t>
            </w:r>
            <w:r>
              <w:rPr>
                <w:rFonts w:hint="default" w:ascii="Times New Roman" w:hAnsi="Times New Roman"/>
                <w:color w:val="auto"/>
                <w:highlight w:val="none"/>
                <w:lang w:val="en-US" w:eastAsia="zh-CN"/>
              </w:rPr>
              <w:t>1</w:t>
            </w:r>
            <w:r>
              <w:rPr>
                <w:rFonts w:ascii="Times New Roman" w:hAnsi="Times New Roman"/>
                <w:color w:val="auto"/>
                <w:highlight w:val="none"/>
              </w:rPr>
              <w:t>.水、电管井防火封堵</w:t>
            </w:r>
            <w:r>
              <w:rPr>
                <w:rFonts w:hint="default" w:ascii="Times New Roman" w:hAnsi="Times New Roman"/>
                <w:color w:val="auto"/>
                <w:highlight w:val="none"/>
              </w:rPr>
              <w:t>不</w:t>
            </w:r>
            <w:r>
              <w:rPr>
                <w:rFonts w:ascii="Times New Roman" w:hAnsi="Times New Roman"/>
                <w:color w:val="auto"/>
                <w:highlight w:val="none"/>
              </w:rPr>
              <w:t>完整</w:t>
            </w:r>
            <w:r>
              <w:rPr>
                <w:rFonts w:hint="default" w:ascii="Times New Roman" w:hAnsi="Times New Roman"/>
                <w:color w:val="auto"/>
                <w:highlight w:val="none"/>
              </w:rPr>
              <w:t>的，发现一处扣2分，扣完10分为止。</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5</w:t>
            </w:r>
            <w:r>
              <w:rPr>
                <w:rFonts w:hint="default" w:ascii="Times New Roman" w:hAnsi="Times New Roman"/>
                <w:color w:val="auto"/>
                <w:highlight w:val="none"/>
                <w:lang w:val="en-US" w:eastAsia="zh-CN"/>
              </w:rPr>
              <w:t>2.</w:t>
            </w:r>
            <w:r>
              <w:rPr>
                <w:rFonts w:ascii="Times New Roman" w:hAnsi="Times New Roman"/>
                <w:color w:val="auto"/>
                <w:highlight w:val="none"/>
              </w:rPr>
              <w:t>防火墙、防火分隔处建筑伸缩缝、管线穿越防火分区等位置防火封堵</w:t>
            </w:r>
            <w:r>
              <w:rPr>
                <w:rFonts w:hint="default" w:ascii="Times New Roman" w:hAnsi="Times New Roman"/>
                <w:color w:val="auto"/>
                <w:highlight w:val="none"/>
              </w:rPr>
              <w:t>不</w:t>
            </w:r>
            <w:r>
              <w:rPr>
                <w:rFonts w:ascii="Times New Roman" w:hAnsi="Times New Roman"/>
                <w:color w:val="auto"/>
                <w:highlight w:val="none"/>
              </w:rPr>
              <w:t>完整</w:t>
            </w:r>
            <w:r>
              <w:rPr>
                <w:rFonts w:hint="default" w:ascii="Times New Roman" w:hAnsi="Times New Roman"/>
                <w:color w:val="auto"/>
                <w:highlight w:val="none"/>
              </w:rPr>
              <w:t>的，发现一处扣2分，扣完10分为止。</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ascii="Times New Roman" w:hAnsi="Times New Roman"/>
                <w:color w:val="auto"/>
                <w:highlight w:val="none"/>
              </w:rPr>
              <w:t>5</w:t>
            </w:r>
            <w:r>
              <w:rPr>
                <w:rFonts w:hint="default" w:ascii="Times New Roman" w:hAnsi="Times New Roman"/>
                <w:color w:val="auto"/>
                <w:highlight w:val="none"/>
                <w:lang w:val="en-US" w:eastAsia="zh-CN"/>
              </w:rPr>
              <w:t>3</w:t>
            </w:r>
            <w:r>
              <w:rPr>
                <w:rFonts w:ascii="Times New Roman" w:hAnsi="Times New Roman"/>
                <w:color w:val="auto"/>
                <w:highlight w:val="none"/>
              </w:rPr>
              <w:t>.商业仓储区、特殊功能库房（如冷库）与其他功能区域</w:t>
            </w:r>
            <w:r>
              <w:rPr>
                <w:rFonts w:hint="default" w:ascii="Times New Roman" w:hAnsi="Times New Roman"/>
                <w:color w:val="auto"/>
                <w:highlight w:val="none"/>
              </w:rPr>
              <w:t>未</w:t>
            </w:r>
            <w:r>
              <w:rPr>
                <w:rFonts w:ascii="Times New Roman" w:hAnsi="Times New Roman"/>
                <w:color w:val="auto"/>
                <w:highlight w:val="none"/>
              </w:rPr>
              <w:t>采用实体墙实施完全分隔</w:t>
            </w:r>
            <w:r>
              <w:rPr>
                <w:rFonts w:hint="default" w:ascii="Times New Roman" w:hAnsi="Times New Roman"/>
                <w:color w:val="auto"/>
                <w:highlight w:val="none"/>
              </w:rPr>
              <w:t>的，发现一处扣5分，扣完15分为止。</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5</w:t>
            </w:r>
            <w:r>
              <w:rPr>
                <w:rFonts w:hint="default" w:ascii="Times New Roman" w:hAnsi="Times New Roman"/>
                <w:color w:val="auto"/>
                <w:highlight w:val="none"/>
                <w:lang w:val="en-US" w:eastAsia="zh-CN"/>
              </w:rPr>
              <w:t>4</w:t>
            </w:r>
            <w:r>
              <w:rPr>
                <w:rFonts w:ascii="Times New Roman" w:hAnsi="Times New Roman"/>
                <w:color w:val="auto"/>
                <w:highlight w:val="none"/>
              </w:rPr>
              <w:t>.建筑外墙设置外装饰面或幕墙时，其空腔部位</w:t>
            </w:r>
            <w:r>
              <w:rPr>
                <w:rFonts w:hint="default" w:ascii="Times New Roman" w:hAnsi="Times New Roman"/>
                <w:color w:val="auto"/>
                <w:highlight w:val="none"/>
              </w:rPr>
              <w:t>未</w:t>
            </w:r>
            <w:r>
              <w:rPr>
                <w:rFonts w:ascii="Times New Roman" w:hAnsi="Times New Roman"/>
                <w:color w:val="auto"/>
                <w:highlight w:val="none"/>
              </w:rPr>
              <w:t>按规定在楼板处采用防火封堵材料封堵</w:t>
            </w:r>
            <w:r>
              <w:rPr>
                <w:rFonts w:hint="default" w:ascii="Times New Roman" w:hAnsi="Times New Roman"/>
                <w:color w:val="auto"/>
                <w:highlight w:val="none"/>
              </w:rPr>
              <w:t>的，发现一处扣2分，扣完10分为止。</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354" w:type="dxa"/>
            <w:vMerge w:val="restart"/>
            <w:noWrap w:val="0"/>
            <w:vAlign w:val="center"/>
          </w:tcPr>
          <w:p>
            <w:pPr>
              <w:widowControl/>
              <w:jc w:val="center"/>
              <w:rPr>
                <w:rFonts w:hint="default" w:ascii="Times New Roman" w:hAnsi="Times New Roman" w:eastAsia="楷体_GB2312"/>
                <w:b/>
                <w:color w:val="auto"/>
                <w:sz w:val="32"/>
                <w:szCs w:val="32"/>
                <w:highlight w:val="none"/>
              </w:rPr>
            </w:pPr>
          </w:p>
          <w:p>
            <w:pPr>
              <w:widowControl/>
              <w:jc w:val="center"/>
              <w:rPr>
                <w:rFonts w:hint="default" w:ascii="Times New Roman" w:hAnsi="Times New Roman"/>
                <w:b/>
                <w:color w:val="auto"/>
                <w:kern w:val="0"/>
                <w:sz w:val="24"/>
                <w:highlight w:val="none"/>
              </w:rPr>
            </w:pPr>
            <w:r>
              <w:rPr>
                <w:rFonts w:ascii="Times New Roman" w:hAnsi="Times New Roman"/>
                <w:b/>
                <w:color w:val="auto"/>
                <w:kern w:val="0"/>
                <w:sz w:val="24"/>
                <w:highlight w:val="none"/>
              </w:rPr>
              <w:t>建筑消防设施</w:t>
            </w:r>
            <w:r>
              <w:rPr>
                <w:rFonts w:hint="default" w:ascii="Times New Roman" w:hAnsi="Times New Roman"/>
                <w:b/>
                <w:color w:val="auto"/>
                <w:kern w:val="0"/>
                <w:sz w:val="24"/>
                <w:highlight w:val="none"/>
              </w:rPr>
              <w:t>（15）</w:t>
            </w: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hint="default" w:ascii="Times New Roman" w:hAnsi="Times New Roman"/>
                <w:color w:val="auto"/>
                <w:highlight w:val="none"/>
              </w:rPr>
              <w:t>16.</w:t>
            </w:r>
            <w:r>
              <w:rPr>
                <w:rFonts w:ascii="Times New Roman" w:hAnsi="Times New Roman"/>
                <w:color w:val="auto"/>
                <w:highlight w:val="none"/>
              </w:rPr>
              <w:t>消防设施是否完备好用</w:t>
            </w: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5</w:t>
            </w:r>
            <w:r>
              <w:rPr>
                <w:rFonts w:hint="default" w:ascii="Times New Roman" w:hAnsi="Times New Roman"/>
                <w:color w:val="auto"/>
                <w:highlight w:val="none"/>
                <w:lang w:val="en-US" w:eastAsia="zh-CN"/>
              </w:rPr>
              <w:t>5</w:t>
            </w:r>
            <w:r>
              <w:rPr>
                <w:rFonts w:ascii="Times New Roman" w:hAnsi="Times New Roman"/>
                <w:color w:val="auto"/>
                <w:highlight w:val="none"/>
              </w:rPr>
              <w:t>.场所</w:t>
            </w:r>
            <w:r>
              <w:rPr>
                <w:rFonts w:hint="default" w:ascii="Times New Roman" w:hAnsi="Times New Roman"/>
                <w:color w:val="auto"/>
                <w:highlight w:val="none"/>
              </w:rPr>
              <w:t>未</w:t>
            </w:r>
            <w:r>
              <w:rPr>
                <w:rFonts w:ascii="Times New Roman" w:hAnsi="Times New Roman"/>
                <w:color w:val="auto"/>
                <w:highlight w:val="none"/>
              </w:rPr>
              <w:t>按原消防设计审核要求或经批准的特殊设计设置消防设施，并保持完好有效</w:t>
            </w:r>
            <w:r>
              <w:rPr>
                <w:rFonts w:hint="default" w:ascii="Times New Roman" w:hAnsi="Times New Roman"/>
                <w:color w:val="auto"/>
                <w:highlight w:val="none"/>
              </w:rPr>
              <w:t>的，发现一处扣5分，扣完15分为止</w:t>
            </w:r>
            <w:r>
              <w:rPr>
                <w:rFonts w:ascii="Times New Roman" w:hAnsi="Times New Roman"/>
                <w:color w:val="auto"/>
                <w:highlight w:val="none"/>
              </w:rPr>
              <w:t>。</w:t>
            </w:r>
          </w:p>
        </w:tc>
        <w:tc>
          <w:tcPr>
            <w:tcW w:w="1527" w:type="dxa"/>
            <w:noWrap w:val="0"/>
            <w:vAlign w:val="center"/>
          </w:tcPr>
          <w:p>
            <w:pPr>
              <w:spacing w:line="320" w:lineRule="exact"/>
              <w:jc w:val="center"/>
              <w:rPr>
                <w:rFonts w:hint="default" w:ascii="Times New Roman" w:hAnsi="Times New Roman"/>
                <w:color w:val="auto"/>
                <w:highlight w:val="none"/>
              </w:rPr>
            </w:pPr>
            <w:r>
              <w:rPr>
                <w:rFonts w:hint="default" w:ascii="Times New Roman" w:hAnsi="Times New Roman"/>
                <w:color w:val="auto"/>
                <w:highlight w:val="none"/>
              </w:rPr>
              <w:t>查看资料</w:t>
            </w:r>
          </w:p>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eastAsia="楷体_GB2312"/>
                <w:b/>
                <w:color w:val="auto"/>
                <w:sz w:val="32"/>
                <w:szCs w:val="32"/>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5</w:t>
            </w:r>
            <w:r>
              <w:rPr>
                <w:rFonts w:hint="default" w:ascii="Times New Roman" w:hAnsi="Times New Roman"/>
                <w:color w:val="auto"/>
                <w:highlight w:val="none"/>
                <w:lang w:val="en-US" w:eastAsia="zh-CN"/>
              </w:rPr>
              <w:t>6</w:t>
            </w:r>
            <w:r>
              <w:rPr>
                <w:rFonts w:ascii="Times New Roman" w:hAnsi="Times New Roman"/>
                <w:color w:val="auto"/>
                <w:highlight w:val="none"/>
              </w:rPr>
              <w:t>.存在</w:t>
            </w:r>
            <w:r>
              <w:rPr>
                <w:rFonts w:hint="default" w:ascii="Times New Roman" w:hAnsi="Times New Roman"/>
                <w:color w:val="auto"/>
                <w:highlight w:val="none"/>
              </w:rPr>
              <w:t>以下</w:t>
            </w:r>
            <w:r>
              <w:rPr>
                <w:rFonts w:ascii="Times New Roman" w:hAnsi="Times New Roman"/>
                <w:color w:val="auto"/>
                <w:highlight w:val="none"/>
              </w:rPr>
              <w:t>应设而未设消防设施</w:t>
            </w:r>
            <w:r>
              <w:rPr>
                <w:rFonts w:hint="default" w:ascii="Times New Roman" w:hAnsi="Times New Roman"/>
                <w:color w:val="auto"/>
                <w:highlight w:val="none"/>
              </w:rPr>
              <w:t>或已设置但不能正常运行的，</w:t>
            </w:r>
            <w:r>
              <w:rPr>
                <w:rFonts w:ascii="Times New Roman" w:hAnsi="Times New Roman"/>
                <w:color w:val="auto"/>
                <w:highlight w:val="none"/>
              </w:rPr>
              <w:t>每发现一项扣</w:t>
            </w:r>
            <w:r>
              <w:rPr>
                <w:rFonts w:hint="default" w:ascii="Times New Roman" w:hAnsi="Times New Roman"/>
                <w:color w:val="auto"/>
                <w:highlight w:val="none"/>
              </w:rPr>
              <w:t>5</w:t>
            </w:r>
            <w:r>
              <w:rPr>
                <w:rFonts w:ascii="Times New Roman" w:hAnsi="Times New Roman"/>
                <w:color w:val="auto"/>
                <w:highlight w:val="none"/>
              </w:rPr>
              <w:t>分。</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a.未按规范要求设置消防给水及消火栓系统或已设置但不能正常运行的；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b.未按规范要求设置火灾自动报警系统或已设置但不能正常运行的；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c.未按规范要求设置自动灭火系统或已设置但不能正常运行的；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d.未按规范要求设置防、排烟设施或已设置但不能正常运行的；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e.未按规范要求设置灭火器或已设置但未保持完好有效的。</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eastAsia="楷体_GB2312"/>
                <w:b/>
                <w:color w:val="auto"/>
                <w:sz w:val="32"/>
                <w:szCs w:val="32"/>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5</w:t>
            </w:r>
            <w:r>
              <w:rPr>
                <w:rFonts w:hint="default" w:ascii="Times New Roman" w:hAnsi="Times New Roman"/>
                <w:color w:val="auto"/>
                <w:highlight w:val="none"/>
                <w:lang w:val="en-US" w:eastAsia="zh-CN"/>
              </w:rPr>
              <w:t>7</w:t>
            </w:r>
            <w:r>
              <w:rPr>
                <w:rFonts w:ascii="Times New Roman" w:hAnsi="Times New Roman"/>
                <w:color w:val="auto"/>
                <w:highlight w:val="none"/>
              </w:rPr>
              <w:t>.未聘请有资质的消防设施维护保养单位对场所消防设施落实定期维护保养</w:t>
            </w:r>
            <w:r>
              <w:rPr>
                <w:rFonts w:hint="default" w:ascii="Times New Roman" w:hAnsi="Times New Roman"/>
                <w:color w:val="auto"/>
                <w:highlight w:val="none"/>
              </w:rPr>
              <w:t>的</w:t>
            </w:r>
            <w:r>
              <w:rPr>
                <w:rFonts w:ascii="Times New Roman" w:hAnsi="Times New Roman"/>
                <w:color w:val="auto"/>
                <w:highlight w:val="none"/>
              </w:rPr>
              <w:t>，扣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hint="default" w:ascii="Times New Roman" w:hAnsi="Times New Roman"/>
                <w:color w:val="auto"/>
                <w:highlight w:val="none"/>
              </w:rPr>
            </w:pPr>
            <w:r>
              <w:rPr>
                <w:rFonts w:hint="default" w:ascii="Times New Roman" w:hAnsi="Times New Roman"/>
                <w:color w:val="auto"/>
                <w:highlight w:val="none"/>
              </w:rPr>
              <w:t>查看资料</w:t>
            </w:r>
          </w:p>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eastAsia="楷体_GB2312"/>
                <w:b/>
                <w:color w:val="auto"/>
                <w:sz w:val="32"/>
                <w:szCs w:val="32"/>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58</w:t>
            </w:r>
            <w:r>
              <w:rPr>
                <w:rFonts w:ascii="Times New Roman" w:hAnsi="Times New Roman"/>
                <w:color w:val="auto"/>
                <w:highlight w:val="none"/>
              </w:rPr>
              <w:t>.未每月开展消防设施维护保养的，扣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hint="default" w:ascii="Times New Roman" w:hAnsi="Times New Roman"/>
                <w:color w:val="auto"/>
                <w:highlight w:val="none"/>
              </w:rPr>
            </w:pPr>
            <w:r>
              <w:rPr>
                <w:rFonts w:hint="default" w:ascii="Times New Roman" w:hAnsi="Times New Roman"/>
                <w:color w:val="auto"/>
                <w:highlight w:val="none"/>
              </w:rPr>
              <w:t>查看资料</w:t>
            </w:r>
          </w:p>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eastAsia="楷体_GB2312"/>
                <w:b/>
                <w:color w:val="auto"/>
                <w:sz w:val="32"/>
                <w:szCs w:val="32"/>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59</w:t>
            </w:r>
            <w:r>
              <w:rPr>
                <w:rFonts w:ascii="Times New Roman" w:hAnsi="Times New Roman"/>
                <w:color w:val="auto"/>
                <w:highlight w:val="none"/>
              </w:rPr>
              <w:t>.消防设施被遮挡、圈占、埋压的，</w:t>
            </w:r>
            <w:r>
              <w:rPr>
                <w:rFonts w:hint="default" w:ascii="Times New Roman" w:hAnsi="Times New Roman"/>
                <w:color w:val="auto"/>
                <w:highlight w:val="none"/>
              </w:rPr>
              <w:t>每发现一处</w:t>
            </w:r>
            <w:r>
              <w:rPr>
                <w:rFonts w:ascii="Times New Roman" w:hAnsi="Times New Roman"/>
                <w:color w:val="auto"/>
                <w:highlight w:val="none"/>
              </w:rPr>
              <w:t>扣</w:t>
            </w:r>
            <w:r>
              <w:rPr>
                <w:rFonts w:hint="default" w:ascii="Times New Roman" w:hAnsi="Times New Roman"/>
                <w:color w:val="auto"/>
                <w:highlight w:val="none"/>
              </w:rPr>
              <w:t>5</w:t>
            </w:r>
            <w:r>
              <w:rPr>
                <w:rFonts w:ascii="Times New Roman" w:hAnsi="Times New Roman"/>
                <w:color w:val="auto"/>
                <w:highlight w:val="none"/>
              </w:rPr>
              <w:t>分</w:t>
            </w:r>
            <w:r>
              <w:rPr>
                <w:rFonts w:hint="default" w:ascii="Times New Roman" w:hAnsi="Times New Roman"/>
                <w:color w:val="auto"/>
                <w:highlight w:val="none"/>
              </w:rPr>
              <w:t>，扣完15分为止</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6</w:t>
            </w:r>
            <w:r>
              <w:rPr>
                <w:rFonts w:hint="default" w:ascii="Times New Roman" w:hAnsi="Times New Roman"/>
                <w:color w:val="auto"/>
                <w:highlight w:val="none"/>
                <w:lang w:val="en-US" w:eastAsia="zh-CN"/>
              </w:rPr>
              <w:t>0</w:t>
            </w:r>
            <w:r>
              <w:rPr>
                <w:rFonts w:ascii="Times New Roman" w:hAnsi="Times New Roman"/>
                <w:color w:val="auto"/>
                <w:highlight w:val="none"/>
              </w:rPr>
              <w:t>.消防控制设备功能</w:t>
            </w:r>
            <w:r>
              <w:rPr>
                <w:rFonts w:hint="default" w:ascii="Times New Roman" w:hAnsi="Times New Roman"/>
                <w:color w:val="auto"/>
                <w:highlight w:val="none"/>
              </w:rPr>
              <w:t>不</w:t>
            </w:r>
            <w:r>
              <w:rPr>
                <w:rFonts w:ascii="Times New Roman" w:hAnsi="Times New Roman"/>
                <w:color w:val="auto"/>
                <w:highlight w:val="none"/>
              </w:rPr>
              <w:t>齐全</w:t>
            </w:r>
            <w:r>
              <w:rPr>
                <w:rFonts w:hint="default" w:ascii="Times New Roman" w:hAnsi="Times New Roman"/>
                <w:color w:val="auto"/>
                <w:highlight w:val="none"/>
              </w:rPr>
              <w:t>的，扣5分</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6</w:t>
            </w:r>
            <w:r>
              <w:rPr>
                <w:rFonts w:hint="default" w:ascii="Times New Roman" w:hAnsi="Times New Roman"/>
                <w:color w:val="auto"/>
                <w:highlight w:val="none"/>
                <w:lang w:val="en-US" w:eastAsia="zh-CN"/>
              </w:rPr>
              <w:t>1</w:t>
            </w:r>
            <w:r>
              <w:rPr>
                <w:rFonts w:ascii="Times New Roman" w:hAnsi="Times New Roman"/>
                <w:color w:val="auto"/>
                <w:highlight w:val="none"/>
              </w:rPr>
              <w:t>.商业配套仓储区及商铺内设短期周转仓库</w:t>
            </w:r>
            <w:r>
              <w:rPr>
                <w:rFonts w:hint="default" w:ascii="Times New Roman" w:hAnsi="Times New Roman"/>
                <w:color w:val="auto"/>
                <w:highlight w:val="none"/>
              </w:rPr>
              <w:t>未</w:t>
            </w:r>
            <w:r>
              <w:rPr>
                <w:rFonts w:ascii="Times New Roman" w:hAnsi="Times New Roman"/>
                <w:color w:val="auto"/>
                <w:highlight w:val="none"/>
              </w:rPr>
              <w:t>按规范设置建筑消防设施</w:t>
            </w:r>
            <w:r>
              <w:rPr>
                <w:rFonts w:hint="default" w:ascii="Times New Roman" w:hAnsi="Times New Roman"/>
                <w:color w:val="auto"/>
                <w:highlight w:val="none"/>
              </w:rPr>
              <w:t>的，发现一处扣5分，扣完15分为止。</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6</w:t>
            </w:r>
            <w:r>
              <w:rPr>
                <w:rFonts w:hint="default" w:ascii="Times New Roman" w:hAnsi="Times New Roman"/>
                <w:color w:val="auto"/>
                <w:highlight w:val="none"/>
                <w:lang w:val="en-US" w:eastAsia="zh-CN"/>
              </w:rPr>
              <w:t>2</w:t>
            </w:r>
            <w:r>
              <w:rPr>
                <w:rFonts w:ascii="Times New Roman" w:hAnsi="Times New Roman"/>
                <w:color w:val="auto"/>
                <w:highlight w:val="none"/>
              </w:rPr>
              <w:t>.设计温度高于0</w:t>
            </w:r>
            <w:r>
              <w:rPr>
                <w:rFonts w:hint="default" w:ascii="Times New Roman" w:hAnsi="Times New Roman"/>
                <w:color w:val="auto"/>
                <w:highlight w:val="none"/>
              </w:rPr>
              <w:t>℃</w:t>
            </w:r>
            <w:r>
              <w:rPr>
                <w:rFonts w:ascii="Times New Roman" w:hAnsi="Times New Roman"/>
                <w:color w:val="auto"/>
                <w:highlight w:val="none"/>
              </w:rPr>
              <w:t>的冷库</w:t>
            </w:r>
            <w:r>
              <w:rPr>
                <w:rFonts w:hint="default" w:ascii="Times New Roman" w:hAnsi="Times New Roman"/>
                <w:color w:val="auto"/>
                <w:highlight w:val="none"/>
              </w:rPr>
              <w:t>未</w:t>
            </w:r>
            <w:r>
              <w:rPr>
                <w:rFonts w:ascii="Times New Roman" w:hAnsi="Times New Roman"/>
                <w:color w:val="auto"/>
                <w:highlight w:val="none"/>
              </w:rPr>
              <w:t>按规范设置自动喷水灭火系统并保持完好有效</w:t>
            </w:r>
            <w:r>
              <w:rPr>
                <w:rFonts w:hint="default" w:ascii="Times New Roman" w:hAnsi="Times New Roman"/>
                <w:color w:val="auto"/>
                <w:highlight w:val="none"/>
              </w:rPr>
              <w:t>的，扣10分。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ascii="Times New Roman" w:hAnsi="Times New Roman"/>
                <w:color w:val="auto"/>
                <w:highlight w:val="none"/>
              </w:rPr>
              <w:t>6</w:t>
            </w:r>
            <w:r>
              <w:rPr>
                <w:rFonts w:hint="default" w:ascii="Times New Roman" w:hAnsi="Times New Roman"/>
                <w:color w:val="auto"/>
                <w:highlight w:val="none"/>
                <w:lang w:val="en-US" w:eastAsia="zh-CN"/>
              </w:rPr>
              <w:t>3</w:t>
            </w:r>
            <w:r>
              <w:rPr>
                <w:rFonts w:ascii="Times New Roman" w:hAnsi="Times New Roman"/>
                <w:color w:val="auto"/>
                <w:highlight w:val="none"/>
              </w:rPr>
              <w:t>.中庭排烟设施</w:t>
            </w:r>
            <w:r>
              <w:rPr>
                <w:rFonts w:hint="default" w:ascii="Times New Roman" w:hAnsi="Times New Roman"/>
                <w:color w:val="auto"/>
                <w:highlight w:val="none"/>
              </w:rPr>
              <w:t>不</w:t>
            </w:r>
            <w:r>
              <w:rPr>
                <w:rFonts w:ascii="Times New Roman" w:hAnsi="Times New Roman"/>
                <w:color w:val="auto"/>
                <w:highlight w:val="none"/>
              </w:rPr>
              <w:t>符合规范要求并保持完好有效</w:t>
            </w:r>
            <w:r>
              <w:rPr>
                <w:rFonts w:hint="default" w:ascii="Times New Roman" w:hAnsi="Times New Roman"/>
                <w:color w:val="auto"/>
                <w:highlight w:val="none"/>
              </w:rPr>
              <w:t>的，扣10分。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6</w:t>
            </w:r>
            <w:r>
              <w:rPr>
                <w:rFonts w:hint="default" w:ascii="Times New Roman" w:hAnsi="Times New Roman"/>
                <w:color w:val="auto"/>
                <w:highlight w:val="none"/>
                <w:lang w:val="en-US" w:eastAsia="zh-CN"/>
              </w:rPr>
              <w:t>4</w:t>
            </w:r>
            <w:r>
              <w:rPr>
                <w:rFonts w:ascii="Times New Roman" w:hAnsi="Times New Roman"/>
                <w:color w:val="auto"/>
                <w:highlight w:val="none"/>
              </w:rPr>
              <w:t>.消火栓泵和喷淋泵电源控制柜</w:t>
            </w:r>
            <w:r>
              <w:rPr>
                <w:rFonts w:hint="default" w:ascii="Times New Roman" w:hAnsi="Times New Roman"/>
                <w:color w:val="auto"/>
                <w:highlight w:val="none"/>
              </w:rPr>
              <w:t>未</w:t>
            </w:r>
            <w:r>
              <w:rPr>
                <w:rFonts w:ascii="Times New Roman" w:hAnsi="Times New Roman"/>
                <w:color w:val="auto"/>
                <w:highlight w:val="none"/>
              </w:rPr>
              <w:t>随时处于自动状态</w:t>
            </w:r>
            <w:r>
              <w:rPr>
                <w:rFonts w:hint="default" w:ascii="Times New Roman" w:hAnsi="Times New Roman"/>
                <w:color w:val="auto"/>
                <w:highlight w:val="none"/>
              </w:rPr>
              <w:t>的，扣5分</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6</w:t>
            </w:r>
            <w:r>
              <w:rPr>
                <w:rFonts w:hint="default" w:ascii="Times New Roman" w:hAnsi="Times New Roman"/>
                <w:color w:val="auto"/>
                <w:highlight w:val="none"/>
                <w:lang w:val="en-US" w:eastAsia="zh-CN"/>
              </w:rPr>
              <w:t>5</w:t>
            </w:r>
            <w:r>
              <w:rPr>
                <w:rFonts w:ascii="Times New Roman" w:hAnsi="Times New Roman"/>
                <w:color w:val="auto"/>
                <w:highlight w:val="none"/>
              </w:rPr>
              <w:t>.</w:t>
            </w:r>
            <w:r>
              <w:rPr>
                <w:rFonts w:hint="default" w:ascii="Times New Roman" w:hAnsi="Times New Roman"/>
                <w:color w:val="auto"/>
                <w:highlight w:val="none"/>
              </w:rPr>
              <w:t>已</w:t>
            </w:r>
            <w:r>
              <w:rPr>
                <w:rFonts w:ascii="Times New Roman" w:hAnsi="Times New Roman"/>
                <w:color w:val="auto"/>
                <w:highlight w:val="none"/>
              </w:rPr>
              <w:t>安装电气火灾监测系统</w:t>
            </w:r>
            <w:r>
              <w:rPr>
                <w:rFonts w:hint="default" w:ascii="Times New Roman" w:hAnsi="Times New Roman"/>
                <w:color w:val="auto"/>
                <w:highlight w:val="none"/>
              </w:rPr>
              <w:t>的，加2分。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6</w:t>
            </w:r>
            <w:r>
              <w:rPr>
                <w:rFonts w:hint="default" w:ascii="Times New Roman" w:hAnsi="Times New Roman"/>
                <w:color w:val="auto"/>
                <w:highlight w:val="none"/>
                <w:lang w:val="en-US" w:eastAsia="zh-CN"/>
              </w:rPr>
              <w:t>6</w:t>
            </w:r>
            <w:r>
              <w:rPr>
                <w:rFonts w:ascii="Times New Roman" w:hAnsi="Times New Roman"/>
                <w:color w:val="auto"/>
                <w:highlight w:val="none"/>
              </w:rPr>
              <w:t>.</w:t>
            </w:r>
            <w:r>
              <w:rPr>
                <w:rFonts w:hint="default" w:ascii="Times New Roman" w:hAnsi="Times New Roman"/>
                <w:color w:val="auto"/>
                <w:highlight w:val="none"/>
              </w:rPr>
              <w:t>未</w:t>
            </w:r>
            <w:r>
              <w:rPr>
                <w:rFonts w:ascii="Times New Roman" w:hAnsi="Times New Roman"/>
                <w:color w:val="auto"/>
                <w:highlight w:val="none"/>
              </w:rPr>
              <w:t>接入城市物联网火灾远程监控系统</w:t>
            </w:r>
            <w:r>
              <w:rPr>
                <w:rFonts w:hint="default" w:ascii="Times New Roman" w:hAnsi="Times New Roman"/>
                <w:color w:val="auto"/>
                <w:highlight w:val="none"/>
              </w:rPr>
              <w:t>的，扣10分。应包括温度传感、火灾烟雾监测、水压监测、电气火灾监控、视频监控等物联感知设备的采集物联网监控系统，少一项扣2分，扣完为止。</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6</w:t>
            </w:r>
            <w:r>
              <w:rPr>
                <w:rFonts w:hint="default" w:ascii="Times New Roman" w:hAnsi="Times New Roman"/>
                <w:color w:val="auto"/>
                <w:highlight w:val="none"/>
                <w:lang w:val="en-US" w:eastAsia="zh-CN"/>
              </w:rPr>
              <w:t>7</w:t>
            </w:r>
            <w:r>
              <w:rPr>
                <w:rFonts w:ascii="Times New Roman" w:hAnsi="Times New Roman"/>
                <w:color w:val="auto"/>
                <w:highlight w:val="none"/>
              </w:rPr>
              <w:t>.使用燃气部位</w:t>
            </w:r>
            <w:r>
              <w:rPr>
                <w:rFonts w:hint="default" w:ascii="Times New Roman" w:hAnsi="Times New Roman"/>
                <w:color w:val="auto"/>
                <w:highlight w:val="none"/>
              </w:rPr>
              <w:t>未</w:t>
            </w:r>
            <w:r>
              <w:rPr>
                <w:rFonts w:ascii="Times New Roman" w:hAnsi="Times New Roman"/>
                <w:color w:val="auto"/>
                <w:highlight w:val="none"/>
              </w:rPr>
              <w:t>设置燃气泄漏报警和自动切断装置</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68</w:t>
            </w:r>
            <w:r>
              <w:rPr>
                <w:rFonts w:ascii="Times New Roman" w:hAnsi="Times New Roman"/>
                <w:color w:val="auto"/>
                <w:highlight w:val="none"/>
              </w:rPr>
              <w:t>.餐饮场所明火厨房内</w:t>
            </w:r>
            <w:r>
              <w:rPr>
                <w:rFonts w:hint="default" w:ascii="Times New Roman" w:hAnsi="Times New Roman"/>
                <w:color w:val="auto"/>
                <w:highlight w:val="none"/>
              </w:rPr>
              <w:t>未</w:t>
            </w:r>
            <w:r>
              <w:rPr>
                <w:rFonts w:ascii="Times New Roman" w:hAnsi="Times New Roman"/>
                <w:color w:val="auto"/>
                <w:highlight w:val="none"/>
              </w:rPr>
              <w:t>设置厨房灭火系统</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69</w:t>
            </w:r>
            <w:r>
              <w:rPr>
                <w:rFonts w:ascii="Times New Roman" w:hAnsi="Times New Roman"/>
                <w:color w:val="auto"/>
                <w:highlight w:val="none"/>
              </w:rPr>
              <w:t>.</w:t>
            </w:r>
            <w:r>
              <w:rPr>
                <w:rFonts w:hint="default" w:ascii="Times New Roman" w:hAnsi="Times New Roman"/>
                <w:color w:val="auto"/>
                <w:highlight w:val="none"/>
              </w:rPr>
              <w:t>未</w:t>
            </w:r>
            <w:r>
              <w:rPr>
                <w:rFonts w:ascii="Times New Roman" w:hAnsi="Times New Roman"/>
                <w:color w:val="auto"/>
                <w:highlight w:val="none"/>
              </w:rPr>
              <w:t>进行一次全面检测，并在醒目位置张贴检测合格标识</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7</w:t>
            </w:r>
            <w:r>
              <w:rPr>
                <w:rFonts w:hint="default" w:ascii="Times New Roman" w:hAnsi="Times New Roman"/>
                <w:color w:val="auto"/>
                <w:highlight w:val="none"/>
                <w:lang w:val="en-US" w:eastAsia="zh-CN"/>
              </w:rPr>
              <w:t>0</w:t>
            </w:r>
            <w:r>
              <w:rPr>
                <w:rFonts w:ascii="Times New Roman" w:hAnsi="Times New Roman"/>
                <w:color w:val="auto"/>
                <w:highlight w:val="none"/>
              </w:rPr>
              <w:t>.</w:t>
            </w:r>
            <w:r>
              <w:rPr>
                <w:rFonts w:hint="default" w:ascii="Times New Roman" w:hAnsi="Times New Roman"/>
                <w:color w:val="auto"/>
                <w:highlight w:val="none"/>
              </w:rPr>
              <w:t>未</w:t>
            </w:r>
            <w:r>
              <w:rPr>
                <w:rFonts w:ascii="Times New Roman" w:hAnsi="Times New Roman"/>
                <w:color w:val="auto"/>
                <w:highlight w:val="none"/>
              </w:rPr>
              <w:t>开展一次建筑消防设施全面维护保养</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7</w:t>
            </w:r>
            <w:r>
              <w:rPr>
                <w:rFonts w:hint="default" w:ascii="Times New Roman" w:hAnsi="Times New Roman"/>
                <w:color w:val="auto"/>
                <w:highlight w:val="none"/>
                <w:lang w:val="en-US" w:eastAsia="zh-CN"/>
              </w:rPr>
              <w:t>1</w:t>
            </w:r>
            <w:r>
              <w:rPr>
                <w:rFonts w:ascii="Times New Roman" w:hAnsi="Times New Roman"/>
                <w:color w:val="auto"/>
                <w:highlight w:val="none"/>
              </w:rPr>
              <w:t>.消防设施器材的其他设置不符合消防技术标准的，每发现一项扣</w:t>
            </w:r>
            <w:r>
              <w:rPr>
                <w:rFonts w:hint="default" w:ascii="Times New Roman" w:hAnsi="Times New Roman"/>
                <w:color w:val="auto"/>
                <w:highlight w:val="none"/>
              </w:rPr>
              <w:t>3</w:t>
            </w:r>
            <w:r>
              <w:rPr>
                <w:rFonts w:ascii="Times New Roman" w:hAnsi="Times New Roman"/>
                <w:color w:val="auto"/>
                <w:highlight w:val="none"/>
              </w:rPr>
              <w:t>分</w:t>
            </w:r>
            <w:r>
              <w:rPr>
                <w:rFonts w:hint="default" w:ascii="Times New Roman" w:hAnsi="Times New Roman"/>
                <w:color w:val="auto"/>
                <w:highlight w:val="none"/>
              </w:rPr>
              <w:t>，扣完15分为止</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b/>
                <w:color w:val="auto"/>
                <w:kern w:val="0"/>
                <w:sz w:val="24"/>
                <w:highlight w:val="none"/>
              </w:rPr>
            </w:pPr>
            <w:r>
              <w:rPr>
                <w:rFonts w:ascii="Times New Roman" w:hAnsi="Times New Roman"/>
                <w:b/>
                <w:color w:val="auto"/>
                <w:kern w:val="0"/>
                <w:sz w:val="24"/>
                <w:highlight w:val="none"/>
              </w:rPr>
              <w:t>消防安全宣传培训</w:t>
            </w:r>
            <w:r>
              <w:rPr>
                <w:rFonts w:hint="default" w:ascii="Times New Roman" w:hAnsi="Times New Roman"/>
                <w:b/>
                <w:color w:val="auto"/>
                <w:kern w:val="0"/>
                <w:sz w:val="24"/>
                <w:highlight w:val="none"/>
              </w:rPr>
              <w:t>（5分）</w:t>
            </w:r>
          </w:p>
        </w:tc>
        <w:tc>
          <w:tcPr>
            <w:tcW w:w="4491" w:type="dxa"/>
            <w:vMerge w:val="restart"/>
            <w:noWrap w:val="0"/>
            <w:vAlign w:val="center"/>
          </w:tcPr>
          <w:p>
            <w:pPr>
              <w:spacing w:line="320" w:lineRule="exact"/>
              <w:ind w:right="-107"/>
              <w:jc w:val="left"/>
              <w:rPr>
                <w:rFonts w:hint="default" w:ascii="Times New Roman" w:hAnsi="Times New Roman"/>
                <w:color w:val="auto"/>
                <w:highlight w:val="none"/>
              </w:rPr>
            </w:pPr>
            <w:r>
              <w:rPr>
                <w:rFonts w:hint="default" w:ascii="Times New Roman" w:hAnsi="Times New Roman"/>
                <w:color w:val="auto"/>
                <w:highlight w:val="none"/>
              </w:rPr>
              <w:t>17.是否开展经常性消防安全宣传工作</w:t>
            </w: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7</w:t>
            </w:r>
            <w:r>
              <w:rPr>
                <w:rFonts w:hint="default" w:ascii="Times New Roman" w:hAnsi="Times New Roman"/>
                <w:color w:val="auto"/>
                <w:highlight w:val="none"/>
                <w:lang w:val="en-US" w:eastAsia="zh-CN"/>
              </w:rPr>
              <w:t>2</w:t>
            </w:r>
            <w:r>
              <w:rPr>
                <w:rFonts w:ascii="Times New Roman" w:hAnsi="Times New Roman"/>
                <w:color w:val="auto"/>
                <w:highlight w:val="none"/>
              </w:rPr>
              <w:t>.消防安全责任人、管理人</w:t>
            </w:r>
            <w:r>
              <w:rPr>
                <w:rFonts w:hint="default" w:ascii="Times New Roman" w:hAnsi="Times New Roman"/>
                <w:color w:val="auto"/>
                <w:highlight w:val="none"/>
              </w:rPr>
              <w:t>未</w:t>
            </w:r>
            <w:r>
              <w:rPr>
                <w:rFonts w:ascii="Times New Roman" w:hAnsi="Times New Roman"/>
                <w:color w:val="auto"/>
                <w:highlight w:val="none"/>
              </w:rPr>
              <w:t>经过消防安全培训</w:t>
            </w:r>
            <w:r>
              <w:rPr>
                <w:rFonts w:hint="default" w:ascii="Times New Roman" w:hAnsi="Times New Roman"/>
                <w:color w:val="auto"/>
                <w:highlight w:val="none"/>
              </w:rPr>
              <w:t>的，扣2分。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7</w:t>
            </w:r>
            <w:r>
              <w:rPr>
                <w:rFonts w:hint="default" w:ascii="Times New Roman" w:hAnsi="Times New Roman"/>
                <w:color w:val="auto"/>
                <w:highlight w:val="none"/>
                <w:lang w:val="en-US" w:eastAsia="zh-CN"/>
              </w:rPr>
              <w:t>3</w:t>
            </w:r>
            <w:r>
              <w:rPr>
                <w:rFonts w:ascii="Times New Roman" w:hAnsi="Times New Roman"/>
                <w:color w:val="auto"/>
                <w:highlight w:val="none"/>
              </w:rPr>
              <w:t>.</w:t>
            </w:r>
            <w:r>
              <w:rPr>
                <w:rFonts w:hint="default" w:ascii="Times New Roman" w:hAnsi="Times New Roman"/>
                <w:color w:val="auto"/>
                <w:highlight w:val="none"/>
              </w:rPr>
              <w:t>消防安全教育培训</w:t>
            </w:r>
            <w:r>
              <w:rPr>
                <w:rFonts w:ascii="Times New Roman" w:hAnsi="Times New Roman"/>
                <w:color w:val="auto"/>
                <w:highlight w:val="none"/>
              </w:rPr>
              <w:t>存在</w:t>
            </w:r>
            <w:r>
              <w:rPr>
                <w:rFonts w:hint="default" w:ascii="Times New Roman" w:hAnsi="Times New Roman"/>
                <w:color w:val="auto"/>
                <w:highlight w:val="none"/>
              </w:rPr>
              <w:t>以下工作不落实情况的，</w:t>
            </w:r>
            <w:r>
              <w:rPr>
                <w:rFonts w:ascii="Times New Roman" w:hAnsi="Times New Roman"/>
                <w:color w:val="auto"/>
                <w:highlight w:val="none"/>
              </w:rPr>
              <w:t>每发现一项扣</w:t>
            </w:r>
            <w:r>
              <w:rPr>
                <w:rFonts w:hint="default" w:ascii="Times New Roman" w:hAnsi="Times New Roman"/>
                <w:color w:val="auto"/>
                <w:highlight w:val="none"/>
              </w:rPr>
              <w:t>2</w:t>
            </w:r>
            <w:r>
              <w:rPr>
                <w:rFonts w:ascii="Times New Roman" w:hAnsi="Times New Roman"/>
                <w:color w:val="auto"/>
                <w:highlight w:val="none"/>
              </w:rPr>
              <w:t>分。</w:t>
            </w:r>
          </w:p>
          <w:p>
            <w:pPr>
              <w:rPr>
                <w:rFonts w:ascii="Times New Roman" w:hAnsi="Times New Roman"/>
                <w:color w:val="auto"/>
                <w:highlight w:val="none"/>
              </w:rPr>
            </w:pPr>
            <w:r>
              <w:rPr>
                <w:rFonts w:hint="default" w:ascii="Times New Roman" w:hAnsi="Times New Roman"/>
                <w:color w:val="auto"/>
                <w:highlight w:val="none"/>
              </w:rPr>
              <w:t>a. 未定期组织开展消防安全教育培训；</w:t>
            </w:r>
          </w:p>
          <w:p>
            <w:pPr>
              <w:rPr>
                <w:rFonts w:hint="default" w:ascii="Times New Roman" w:hAnsi="Times New Roman"/>
                <w:color w:val="auto"/>
                <w:highlight w:val="none"/>
              </w:rPr>
            </w:pPr>
            <w:r>
              <w:rPr>
                <w:rFonts w:hint="default" w:ascii="Times New Roman" w:hAnsi="Times New Roman"/>
                <w:color w:val="auto"/>
                <w:highlight w:val="none"/>
              </w:rPr>
              <w:t>b.</w:t>
            </w:r>
            <w:r>
              <w:rPr>
                <w:rFonts w:ascii="Times New Roman" w:hAnsi="Times New Roman"/>
                <w:color w:val="auto"/>
                <w:highlight w:val="none"/>
              </w:rPr>
              <w:t xml:space="preserve"> </w:t>
            </w:r>
            <w:r>
              <w:rPr>
                <w:rFonts w:hint="default" w:ascii="Times New Roman" w:hAnsi="Times New Roman"/>
                <w:color w:val="auto"/>
                <w:highlight w:val="none"/>
              </w:rPr>
              <w:t>未</w:t>
            </w:r>
            <w:r>
              <w:rPr>
                <w:rFonts w:ascii="Times New Roman" w:hAnsi="Times New Roman"/>
                <w:color w:val="auto"/>
                <w:highlight w:val="none"/>
              </w:rPr>
              <w:t>按时开展在职员工消防培训</w:t>
            </w:r>
            <w:r>
              <w:rPr>
                <w:rFonts w:hint="default" w:ascii="Times New Roman" w:hAnsi="Times New Roman"/>
                <w:color w:val="auto"/>
                <w:highlight w:val="none"/>
              </w:rPr>
              <w:t>；</w:t>
            </w:r>
          </w:p>
          <w:p>
            <w:pPr>
              <w:spacing w:line="320" w:lineRule="exact"/>
              <w:jc w:val="left"/>
              <w:rPr>
                <w:rFonts w:ascii="Times New Roman" w:hAnsi="Times New Roman"/>
                <w:color w:val="auto"/>
                <w:highlight w:val="none"/>
              </w:rPr>
            </w:pPr>
            <w:r>
              <w:rPr>
                <w:rFonts w:hint="default" w:ascii="Times New Roman" w:hAnsi="Times New Roman"/>
                <w:color w:val="auto"/>
                <w:highlight w:val="none"/>
              </w:rPr>
              <w:t>c.</w:t>
            </w:r>
            <w:r>
              <w:rPr>
                <w:rFonts w:ascii="Times New Roman" w:hAnsi="Times New Roman"/>
                <w:color w:val="auto"/>
                <w:highlight w:val="none"/>
              </w:rPr>
              <w:t xml:space="preserve"> 新员工</w:t>
            </w:r>
            <w:r>
              <w:rPr>
                <w:rFonts w:hint="default" w:ascii="Times New Roman" w:hAnsi="Times New Roman"/>
                <w:color w:val="auto"/>
                <w:highlight w:val="none"/>
              </w:rPr>
              <w:t>未</w:t>
            </w:r>
            <w:r>
              <w:rPr>
                <w:rFonts w:ascii="Times New Roman" w:hAnsi="Times New Roman"/>
                <w:color w:val="auto"/>
                <w:highlight w:val="none"/>
              </w:rPr>
              <w:t>经消防培训合格后上岗。</w:t>
            </w:r>
          </w:p>
        </w:tc>
        <w:tc>
          <w:tcPr>
            <w:tcW w:w="1527" w:type="dxa"/>
            <w:noWrap w:val="0"/>
            <w:vAlign w:val="center"/>
          </w:tcPr>
          <w:p>
            <w:pPr>
              <w:spacing w:line="320" w:lineRule="exact"/>
              <w:jc w:val="center"/>
              <w:rPr>
                <w:rFonts w:hint="default" w:ascii="Times New Roman" w:hAnsi="Times New Roman"/>
                <w:color w:val="auto"/>
                <w:highlight w:val="none"/>
              </w:rPr>
            </w:pPr>
            <w:r>
              <w:rPr>
                <w:rFonts w:hint="default" w:ascii="Times New Roman" w:hAnsi="Times New Roman"/>
                <w:color w:val="auto"/>
                <w:highlight w:val="none"/>
              </w:rPr>
              <w:t>a.查看资料</w:t>
            </w:r>
          </w:p>
          <w:p>
            <w:pPr>
              <w:spacing w:line="320" w:lineRule="exact"/>
              <w:jc w:val="center"/>
              <w:rPr>
                <w:rFonts w:hint="default" w:ascii="Times New Roman" w:hAnsi="Times New Roman"/>
                <w:color w:val="auto"/>
                <w:highlight w:val="none"/>
              </w:rPr>
            </w:pPr>
            <w:r>
              <w:rPr>
                <w:rFonts w:hint="default" w:ascii="Times New Roman" w:hAnsi="Times New Roman"/>
                <w:color w:val="auto"/>
                <w:highlight w:val="none"/>
              </w:rPr>
              <w:t>b.查看资料</w:t>
            </w:r>
          </w:p>
          <w:p>
            <w:pPr>
              <w:spacing w:line="320" w:lineRule="exact"/>
              <w:jc w:val="center"/>
              <w:rPr>
                <w:rFonts w:ascii="Times New Roman" w:hAnsi="Times New Roman"/>
                <w:color w:val="auto"/>
                <w:highlight w:val="none"/>
              </w:rPr>
            </w:pPr>
            <w:r>
              <w:rPr>
                <w:rFonts w:hint="default" w:ascii="Times New Roman" w:hAnsi="Times New Roman"/>
                <w:color w:val="auto"/>
                <w:highlight w:val="none"/>
              </w:rPr>
              <w:t>c.随机提问至少1名新员工</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7</w:t>
            </w:r>
            <w:r>
              <w:rPr>
                <w:rFonts w:hint="default" w:ascii="Times New Roman" w:hAnsi="Times New Roman"/>
                <w:color w:val="auto"/>
                <w:highlight w:val="none"/>
                <w:lang w:val="en-US" w:eastAsia="zh-CN"/>
              </w:rPr>
              <w:t>4</w:t>
            </w:r>
            <w:r>
              <w:rPr>
                <w:rFonts w:ascii="Times New Roman" w:hAnsi="Times New Roman"/>
                <w:color w:val="auto"/>
                <w:highlight w:val="none"/>
              </w:rPr>
              <w:t>.消防宣传培训</w:t>
            </w:r>
            <w:r>
              <w:rPr>
                <w:rFonts w:hint="default" w:ascii="Times New Roman" w:hAnsi="Times New Roman"/>
                <w:color w:val="auto"/>
                <w:highlight w:val="none"/>
              </w:rPr>
              <w:t>未</w:t>
            </w:r>
            <w:r>
              <w:rPr>
                <w:rFonts w:ascii="Times New Roman" w:hAnsi="Times New Roman"/>
                <w:color w:val="auto"/>
                <w:highlight w:val="none"/>
              </w:rPr>
              <w:t>按人员登记造册</w:t>
            </w:r>
            <w:r>
              <w:rPr>
                <w:rFonts w:hint="default" w:ascii="Times New Roman" w:hAnsi="Times New Roman"/>
                <w:color w:val="auto"/>
                <w:highlight w:val="none"/>
              </w:rPr>
              <w:t>的，扣2分。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7</w:t>
            </w:r>
            <w:r>
              <w:rPr>
                <w:rFonts w:hint="default" w:ascii="Times New Roman" w:hAnsi="Times New Roman"/>
                <w:color w:val="auto"/>
                <w:highlight w:val="none"/>
                <w:lang w:val="en-US" w:eastAsia="zh-CN"/>
              </w:rPr>
              <w:t>5.</w:t>
            </w:r>
            <w:r>
              <w:rPr>
                <w:rFonts w:hint="default" w:ascii="Times New Roman" w:hAnsi="Times New Roman"/>
                <w:color w:val="auto"/>
                <w:highlight w:val="none"/>
              </w:rPr>
              <w:t>未</w:t>
            </w:r>
            <w:r>
              <w:rPr>
                <w:rFonts w:ascii="Times New Roman" w:hAnsi="Times New Roman"/>
                <w:color w:val="auto"/>
                <w:highlight w:val="none"/>
              </w:rPr>
              <w:t>落实人员密集场所消防安全“三提示”要求</w:t>
            </w:r>
            <w:r>
              <w:rPr>
                <w:rFonts w:hint="default" w:ascii="Times New Roman" w:hAnsi="Times New Roman"/>
                <w:color w:val="auto"/>
                <w:highlight w:val="none"/>
              </w:rPr>
              <w:t>的，扣3分。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7</w:t>
            </w:r>
            <w:r>
              <w:rPr>
                <w:rFonts w:hint="default" w:ascii="Times New Roman" w:hAnsi="Times New Roman"/>
                <w:color w:val="auto"/>
                <w:highlight w:val="none"/>
                <w:lang w:val="en-US" w:eastAsia="zh-CN"/>
              </w:rPr>
              <w:t>6</w:t>
            </w:r>
            <w:r>
              <w:rPr>
                <w:rFonts w:ascii="Times New Roman" w:hAnsi="Times New Roman"/>
                <w:color w:val="auto"/>
                <w:highlight w:val="none"/>
              </w:rPr>
              <w:t>.</w:t>
            </w:r>
            <w:r>
              <w:rPr>
                <w:rFonts w:hint="default" w:ascii="Times New Roman" w:hAnsi="Times New Roman"/>
                <w:color w:val="auto"/>
                <w:highlight w:val="none"/>
              </w:rPr>
              <w:t>未</w:t>
            </w:r>
            <w:r>
              <w:rPr>
                <w:rFonts w:ascii="Times New Roman" w:hAnsi="Times New Roman"/>
                <w:color w:val="auto"/>
                <w:highlight w:val="none"/>
              </w:rPr>
              <w:t>设置员工消防培训宣传栏</w:t>
            </w:r>
            <w:r>
              <w:rPr>
                <w:rFonts w:hint="default" w:ascii="Times New Roman" w:hAnsi="Times New Roman"/>
                <w:color w:val="auto"/>
                <w:highlight w:val="none"/>
              </w:rPr>
              <w:t>的，扣3分。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7</w:t>
            </w:r>
            <w:r>
              <w:rPr>
                <w:rFonts w:hint="default" w:ascii="Times New Roman" w:hAnsi="Times New Roman"/>
                <w:color w:val="auto"/>
                <w:highlight w:val="none"/>
                <w:lang w:val="en-US" w:eastAsia="zh-CN"/>
              </w:rPr>
              <w:t>7</w:t>
            </w:r>
            <w:r>
              <w:rPr>
                <w:rFonts w:ascii="Times New Roman" w:hAnsi="Times New Roman"/>
                <w:color w:val="auto"/>
                <w:highlight w:val="none"/>
              </w:rPr>
              <w:t>.</w:t>
            </w:r>
            <w:r>
              <w:rPr>
                <w:rFonts w:hint="default" w:ascii="Times New Roman" w:hAnsi="Times New Roman"/>
                <w:color w:val="auto"/>
                <w:highlight w:val="none"/>
              </w:rPr>
              <w:t>未</w:t>
            </w:r>
            <w:r>
              <w:rPr>
                <w:rFonts w:ascii="Times New Roman" w:hAnsi="Times New Roman"/>
                <w:color w:val="auto"/>
                <w:highlight w:val="none"/>
              </w:rPr>
              <w:t>开展一次全员消防安全培训</w:t>
            </w:r>
            <w:r>
              <w:rPr>
                <w:rFonts w:hint="default" w:ascii="Times New Roman" w:hAnsi="Times New Roman"/>
                <w:color w:val="auto"/>
                <w:highlight w:val="none"/>
              </w:rPr>
              <w:t>的，扣3分。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灭火救援条件</w:t>
            </w:r>
            <w:r>
              <w:rPr>
                <w:rFonts w:hint="default" w:ascii="Times New Roman" w:hAnsi="Times New Roman"/>
                <w:b/>
                <w:color w:val="auto"/>
                <w:kern w:val="0"/>
                <w:sz w:val="24"/>
                <w:highlight w:val="none"/>
              </w:rPr>
              <w:t>（5分）</w:t>
            </w:r>
          </w:p>
        </w:tc>
        <w:tc>
          <w:tcPr>
            <w:tcW w:w="4491" w:type="dxa"/>
            <w:vMerge w:val="restart"/>
            <w:noWrap w:val="0"/>
            <w:vAlign w:val="center"/>
          </w:tcPr>
          <w:p>
            <w:pPr>
              <w:spacing w:line="320" w:lineRule="exact"/>
              <w:ind w:right="-107"/>
              <w:jc w:val="left"/>
              <w:rPr>
                <w:rFonts w:hint="default" w:ascii="Times New Roman" w:hAnsi="Times New Roman"/>
                <w:color w:val="auto"/>
                <w:highlight w:val="none"/>
              </w:rPr>
            </w:pPr>
            <w:r>
              <w:rPr>
                <w:rFonts w:hint="default" w:ascii="Times New Roman" w:hAnsi="Times New Roman"/>
                <w:color w:val="auto"/>
                <w:highlight w:val="none"/>
              </w:rPr>
              <w:t>18.是否具备灭火救援条件</w:t>
            </w: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78</w:t>
            </w:r>
            <w:r>
              <w:rPr>
                <w:rFonts w:ascii="Times New Roman" w:hAnsi="Times New Roman"/>
                <w:color w:val="auto"/>
                <w:highlight w:val="none"/>
              </w:rPr>
              <w:t>.灭火救援窗无明显标识</w:t>
            </w:r>
            <w:r>
              <w:rPr>
                <w:rFonts w:hint="default" w:ascii="Times New Roman" w:hAnsi="Times New Roman"/>
                <w:color w:val="auto"/>
                <w:highlight w:val="none"/>
              </w:rPr>
              <w:t>的，扣3分</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79</w:t>
            </w:r>
            <w:r>
              <w:rPr>
                <w:rFonts w:ascii="Times New Roman" w:hAnsi="Times New Roman"/>
                <w:color w:val="auto"/>
                <w:highlight w:val="none"/>
              </w:rPr>
              <w:t>.消防车道和消防车登高场地</w:t>
            </w:r>
            <w:r>
              <w:rPr>
                <w:rFonts w:hint="default" w:ascii="Times New Roman" w:hAnsi="Times New Roman"/>
                <w:color w:val="auto"/>
                <w:highlight w:val="none"/>
              </w:rPr>
              <w:t>难以</w:t>
            </w:r>
            <w:r>
              <w:rPr>
                <w:rFonts w:ascii="Times New Roman" w:hAnsi="Times New Roman"/>
                <w:color w:val="auto"/>
                <w:highlight w:val="none"/>
              </w:rPr>
              <w:t>满足火灾扑救要求</w:t>
            </w:r>
            <w:r>
              <w:rPr>
                <w:rFonts w:hint="default" w:ascii="Times New Roman" w:hAnsi="Times New Roman"/>
                <w:color w:val="auto"/>
                <w:highlight w:val="none"/>
                <w:lang w:val="en-US" w:eastAsia="zh-CN"/>
              </w:rPr>
              <w:t>或消防车道、消防车登高场地未落实标识化管理的</w:t>
            </w:r>
            <w:r>
              <w:rPr>
                <w:rFonts w:hint="default" w:ascii="Times New Roman" w:hAnsi="Times New Roman"/>
                <w:color w:val="auto"/>
                <w:highlight w:val="none"/>
              </w:rPr>
              <w:t>，扣5分。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8</w:t>
            </w:r>
            <w:r>
              <w:rPr>
                <w:rFonts w:hint="default" w:ascii="Times New Roman" w:hAnsi="Times New Roman"/>
                <w:color w:val="auto"/>
                <w:highlight w:val="none"/>
                <w:lang w:val="en-US" w:eastAsia="zh-CN"/>
              </w:rPr>
              <w:t>0</w:t>
            </w:r>
            <w:r>
              <w:rPr>
                <w:rFonts w:ascii="Times New Roman" w:hAnsi="Times New Roman"/>
                <w:color w:val="auto"/>
                <w:highlight w:val="none"/>
              </w:rPr>
              <w:t>.员工</w:t>
            </w:r>
            <w:r>
              <w:rPr>
                <w:rFonts w:hint="default" w:ascii="Times New Roman" w:hAnsi="Times New Roman"/>
                <w:color w:val="auto"/>
                <w:highlight w:val="none"/>
              </w:rPr>
              <w:t>不</w:t>
            </w:r>
            <w:r>
              <w:rPr>
                <w:rFonts w:ascii="Times New Roman" w:hAnsi="Times New Roman"/>
                <w:color w:val="auto"/>
                <w:highlight w:val="none"/>
              </w:rPr>
              <w:t>具备消防器材操作实操技能和人员疏散组织技能</w:t>
            </w:r>
            <w:r>
              <w:rPr>
                <w:rFonts w:hint="default" w:ascii="Times New Roman" w:hAnsi="Times New Roman"/>
                <w:color w:val="auto"/>
                <w:highlight w:val="none"/>
              </w:rPr>
              <w:t>的，扣3分。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随机提问至少1名员工</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hint="default" w:ascii="Times New Roman" w:hAnsi="Times New Roman"/>
                <w:b/>
                <w:color w:val="auto"/>
                <w:kern w:val="0"/>
                <w:sz w:val="24"/>
                <w:highlight w:val="none"/>
              </w:rPr>
            </w:pPr>
            <w:r>
              <w:rPr>
                <w:rFonts w:ascii="Times New Roman" w:hAnsi="Times New Roman"/>
                <w:b/>
                <w:color w:val="auto"/>
                <w:kern w:val="0"/>
                <w:sz w:val="24"/>
                <w:highlight w:val="none"/>
              </w:rPr>
              <w:t>消防队站建设</w:t>
            </w:r>
          </w:p>
          <w:p>
            <w:pPr>
              <w:widowControl/>
              <w:jc w:val="center"/>
              <w:rPr>
                <w:rFonts w:ascii="Times New Roman" w:hAnsi="Times New Roman"/>
                <w:b/>
                <w:color w:val="auto"/>
                <w:kern w:val="0"/>
                <w:sz w:val="24"/>
                <w:highlight w:val="none"/>
              </w:rPr>
            </w:pPr>
            <w:r>
              <w:rPr>
                <w:rFonts w:hint="default" w:ascii="Times New Roman" w:hAnsi="Times New Roman"/>
                <w:b/>
                <w:color w:val="auto"/>
                <w:kern w:val="0"/>
                <w:sz w:val="24"/>
                <w:highlight w:val="none"/>
              </w:rPr>
              <w:t>（5分）</w:t>
            </w:r>
          </w:p>
        </w:tc>
        <w:tc>
          <w:tcPr>
            <w:tcW w:w="4491" w:type="dxa"/>
            <w:vMerge w:val="restart"/>
            <w:noWrap w:val="0"/>
            <w:vAlign w:val="center"/>
          </w:tcPr>
          <w:p>
            <w:pPr>
              <w:spacing w:line="320" w:lineRule="exact"/>
              <w:ind w:right="-107"/>
              <w:jc w:val="left"/>
              <w:rPr>
                <w:rFonts w:hint="default" w:ascii="Times New Roman" w:hAnsi="Times New Roman"/>
                <w:color w:val="auto"/>
                <w:highlight w:val="none"/>
              </w:rPr>
            </w:pPr>
            <w:r>
              <w:rPr>
                <w:rFonts w:hint="default" w:ascii="Times New Roman" w:hAnsi="Times New Roman"/>
                <w:color w:val="auto"/>
                <w:highlight w:val="none"/>
              </w:rPr>
              <w:t>19.消防队站建设是否符合标准要求</w:t>
            </w: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8</w:t>
            </w:r>
            <w:r>
              <w:rPr>
                <w:rFonts w:hint="default" w:ascii="Times New Roman" w:hAnsi="Times New Roman"/>
                <w:color w:val="auto"/>
                <w:highlight w:val="none"/>
                <w:lang w:val="en-US" w:eastAsia="zh-CN"/>
              </w:rPr>
              <w:t>1</w:t>
            </w:r>
            <w:r>
              <w:rPr>
                <w:rFonts w:ascii="Times New Roman" w:hAnsi="Times New Roman"/>
                <w:color w:val="auto"/>
                <w:highlight w:val="none"/>
              </w:rPr>
              <w:t>.</w:t>
            </w:r>
            <w:r>
              <w:rPr>
                <w:rFonts w:hint="default" w:ascii="Times New Roman" w:hAnsi="Times New Roman"/>
                <w:color w:val="auto"/>
                <w:highlight w:val="none"/>
              </w:rPr>
              <w:t>未</w:t>
            </w:r>
            <w:r>
              <w:rPr>
                <w:rFonts w:ascii="Times New Roman" w:hAnsi="Times New Roman"/>
                <w:color w:val="auto"/>
                <w:highlight w:val="none"/>
              </w:rPr>
              <w:t>配合辖区消防中队制定灭火应急预案</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8</w:t>
            </w:r>
            <w:r>
              <w:rPr>
                <w:rFonts w:hint="default" w:ascii="Times New Roman" w:hAnsi="Times New Roman"/>
                <w:color w:val="auto"/>
                <w:highlight w:val="none"/>
                <w:lang w:val="en-US" w:eastAsia="zh-CN"/>
              </w:rPr>
              <w:t>2</w:t>
            </w:r>
            <w:r>
              <w:rPr>
                <w:rFonts w:ascii="Times New Roman" w:hAnsi="Times New Roman"/>
                <w:color w:val="auto"/>
                <w:highlight w:val="none"/>
              </w:rPr>
              <w:t>.</w:t>
            </w:r>
            <w:r>
              <w:rPr>
                <w:rFonts w:hint="default" w:ascii="Times New Roman" w:hAnsi="Times New Roman"/>
                <w:color w:val="auto"/>
                <w:highlight w:val="none"/>
              </w:rPr>
              <w:t>未</w:t>
            </w:r>
            <w:r>
              <w:rPr>
                <w:rFonts w:ascii="Times New Roman" w:hAnsi="Times New Roman"/>
                <w:color w:val="auto"/>
                <w:highlight w:val="none"/>
              </w:rPr>
              <w:t>配合辖区消防中队开展“六熟悉”工作</w:t>
            </w:r>
            <w:r>
              <w:rPr>
                <w:rFonts w:hint="default" w:ascii="Times New Roman" w:hAnsi="Times New Roman"/>
                <w:color w:val="auto"/>
                <w:highlight w:val="none"/>
              </w:rPr>
              <w:t>的，扣5分。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8</w:t>
            </w:r>
            <w:r>
              <w:rPr>
                <w:rFonts w:hint="default" w:ascii="Times New Roman" w:hAnsi="Times New Roman"/>
                <w:color w:val="auto"/>
                <w:highlight w:val="none"/>
                <w:lang w:val="en-US" w:eastAsia="zh-CN"/>
              </w:rPr>
              <w:t>3</w:t>
            </w:r>
            <w:r>
              <w:rPr>
                <w:rFonts w:ascii="Times New Roman" w:hAnsi="Times New Roman"/>
                <w:color w:val="auto"/>
                <w:highlight w:val="none"/>
              </w:rPr>
              <w:t>.</w:t>
            </w:r>
            <w:r>
              <w:rPr>
                <w:rFonts w:hint="default" w:ascii="Times New Roman" w:hAnsi="Times New Roman"/>
                <w:color w:val="auto"/>
                <w:highlight w:val="none"/>
              </w:rPr>
              <w:t>未</w:t>
            </w:r>
            <w:r>
              <w:rPr>
                <w:rFonts w:ascii="Times New Roman" w:hAnsi="Times New Roman"/>
                <w:color w:val="auto"/>
                <w:highlight w:val="none"/>
              </w:rPr>
              <w:t>落实消防器材、设施消防安全标识化工作</w:t>
            </w:r>
            <w:r>
              <w:rPr>
                <w:rFonts w:hint="default" w:ascii="Times New Roman" w:hAnsi="Times New Roman"/>
                <w:color w:val="auto"/>
                <w:highlight w:val="none"/>
              </w:rPr>
              <w:t>的，扣2分。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8</w:t>
            </w:r>
            <w:r>
              <w:rPr>
                <w:rFonts w:hint="default" w:ascii="Times New Roman" w:hAnsi="Times New Roman"/>
                <w:color w:val="auto"/>
                <w:highlight w:val="none"/>
                <w:lang w:val="en-US" w:eastAsia="zh-CN"/>
              </w:rPr>
              <w:t>4</w:t>
            </w:r>
            <w:r>
              <w:rPr>
                <w:rFonts w:ascii="Times New Roman" w:hAnsi="Times New Roman"/>
                <w:color w:val="auto"/>
                <w:highlight w:val="none"/>
              </w:rPr>
              <w:t>.微型消防站建设存在</w:t>
            </w:r>
            <w:r>
              <w:rPr>
                <w:rFonts w:hint="default" w:ascii="Times New Roman" w:hAnsi="Times New Roman"/>
                <w:color w:val="auto"/>
                <w:highlight w:val="none"/>
              </w:rPr>
              <w:t>以下工作不落实情况的，</w:t>
            </w:r>
            <w:r>
              <w:rPr>
                <w:rFonts w:ascii="Times New Roman" w:hAnsi="Times New Roman"/>
                <w:color w:val="auto"/>
                <w:highlight w:val="none"/>
              </w:rPr>
              <w:t>每发现一项扣</w:t>
            </w:r>
            <w:r>
              <w:rPr>
                <w:rFonts w:hint="default" w:ascii="Times New Roman" w:hAnsi="Times New Roman"/>
                <w:color w:val="auto"/>
                <w:highlight w:val="none"/>
              </w:rPr>
              <w:t>2</w:t>
            </w:r>
            <w:r>
              <w:rPr>
                <w:rFonts w:ascii="Times New Roman" w:hAnsi="Times New Roman"/>
                <w:color w:val="auto"/>
                <w:highlight w:val="none"/>
              </w:rPr>
              <w:t>分。</w:t>
            </w:r>
          </w:p>
          <w:p>
            <w:pPr>
              <w:spacing w:line="320" w:lineRule="exact"/>
              <w:jc w:val="left"/>
              <w:rPr>
                <w:rFonts w:hint="default" w:ascii="Times New Roman" w:hAnsi="Times New Roman"/>
                <w:color w:val="auto"/>
                <w:highlight w:val="none"/>
              </w:rPr>
            </w:pPr>
            <w:r>
              <w:rPr>
                <w:rFonts w:ascii="Times New Roman" w:hAnsi="Times New Roman"/>
                <w:color w:val="auto"/>
                <w:highlight w:val="none"/>
              </w:rPr>
              <w:t>a.</w:t>
            </w:r>
            <w:r>
              <w:rPr>
                <w:rFonts w:hint="default" w:ascii="Times New Roman" w:hAnsi="Times New Roman"/>
                <w:color w:val="auto"/>
                <w:highlight w:val="none"/>
              </w:rPr>
              <w:t>未</w:t>
            </w:r>
            <w:r>
              <w:rPr>
                <w:rFonts w:ascii="Times New Roman" w:hAnsi="Times New Roman"/>
                <w:color w:val="auto"/>
                <w:highlight w:val="none"/>
              </w:rPr>
              <w:t>按照“一楼多站、一站多点”原则建设并符合标准</w:t>
            </w:r>
            <w:r>
              <w:rPr>
                <w:rFonts w:hint="default" w:ascii="Times New Roman" w:hAnsi="Times New Roman"/>
                <w:color w:val="auto"/>
                <w:highlight w:val="none"/>
              </w:rPr>
              <w:t>；</w:t>
            </w:r>
          </w:p>
          <w:p>
            <w:pPr>
              <w:spacing w:line="320" w:lineRule="exact"/>
              <w:jc w:val="left"/>
              <w:rPr>
                <w:rFonts w:hint="default" w:ascii="Times New Roman" w:hAnsi="Times New Roman"/>
                <w:color w:val="auto"/>
                <w:highlight w:val="none"/>
              </w:rPr>
            </w:pPr>
            <w:r>
              <w:rPr>
                <w:rFonts w:ascii="Times New Roman" w:hAnsi="Times New Roman"/>
                <w:color w:val="auto"/>
                <w:highlight w:val="none"/>
              </w:rPr>
              <w:t>b.</w:t>
            </w:r>
            <w:r>
              <w:rPr>
                <w:rFonts w:hint="default" w:ascii="Times New Roman" w:hAnsi="Times New Roman"/>
                <w:color w:val="auto"/>
                <w:highlight w:val="none"/>
              </w:rPr>
              <w:t>经实地拉动测试，不</w:t>
            </w:r>
            <w:r>
              <w:rPr>
                <w:rFonts w:ascii="Times New Roman" w:hAnsi="Times New Roman"/>
                <w:color w:val="auto"/>
                <w:highlight w:val="none"/>
              </w:rPr>
              <w:t>具备扑救初期火灾能力</w:t>
            </w:r>
            <w:r>
              <w:rPr>
                <w:rFonts w:hint="default" w:ascii="Times New Roman" w:hAnsi="Times New Roman"/>
                <w:color w:val="auto"/>
                <w:highlight w:val="none"/>
              </w:rPr>
              <w:t>；</w:t>
            </w:r>
          </w:p>
          <w:p>
            <w:pPr>
              <w:spacing w:line="320" w:lineRule="exact"/>
              <w:jc w:val="left"/>
              <w:rPr>
                <w:rFonts w:hint="default" w:ascii="Times New Roman" w:hAnsi="Times New Roman"/>
                <w:color w:val="auto"/>
                <w:highlight w:val="none"/>
              </w:rPr>
            </w:pPr>
            <w:r>
              <w:rPr>
                <w:rFonts w:ascii="Times New Roman" w:hAnsi="Times New Roman"/>
                <w:color w:val="auto"/>
                <w:highlight w:val="none"/>
              </w:rPr>
              <w:t>c.队员</w:t>
            </w:r>
            <w:r>
              <w:rPr>
                <w:rFonts w:hint="default" w:ascii="Times New Roman" w:hAnsi="Times New Roman"/>
                <w:color w:val="auto"/>
                <w:highlight w:val="none"/>
              </w:rPr>
              <w:t>未</w:t>
            </w:r>
            <w:r>
              <w:rPr>
                <w:rFonts w:ascii="Times New Roman" w:hAnsi="Times New Roman"/>
                <w:color w:val="auto"/>
                <w:highlight w:val="none"/>
              </w:rPr>
              <w:t>经辖区消防中队强化业务培训考核并熟练掌握灭火实操技能</w:t>
            </w:r>
            <w:r>
              <w:rPr>
                <w:rFonts w:hint="default" w:ascii="Times New Roman" w:hAnsi="Times New Roman"/>
                <w:color w:val="auto"/>
                <w:highlight w:val="none"/>
              </w:rPr>
              <w:t>。</w:t>
            </w:r>
          </w:p>
        </w:tc>
        <w:tc>
          <w:tcPr>
            <w:tcW w:w="1527" w:type="dxa"/>
            <w:noWrap w:val="0"/>
            <w:vAlign w:val="center"/>
          </w:tcPr>
          <w:p>
            <w:pPr>
              <w:spacing w:line="320" w:lineRule="exact"/>
              <w:jc w:val="center"/>
              <w:rPr>
                <w:rFonts w:hint="default" w:ascii="Times New Roman" w:hAnsi="Times New Roman"/>
                <w:color w:val="auto"/>
                <w:highlight w:val="none"/>
              </w:rPr>
            </w:pPr>
            <w:r>
              <w:rPr>
                <w:rFonts w:ascii="Times New Roman" w:hAnsi="Times New Roman"/>
                <w:color w:val="auto"/>
                <w:highlight w:val="none"/>
              </w:rPr>
              <w:t>a.</w:t>
            </w:r>
            <w:r>
              <w:rPr>
                <w:rFonts w:hint="default" w:ascii="Times New Roman" w:hAnsi="Times New Roman"/>
                <w:color w:val="auto"/>
                <w:highlight w:val="none"/>
              </w:rPr>
              <w:t>实地查看</w:t>
            </w:r>
          </w:p>
          <w:p>
            <w:pPr>
              <w:spacing w:line="320" w:lineRule="exact"/>
              <w:jc w:val="center"/>
              <w:rPr>
                <w:rFonts w:hint="default" w:ascii="Times New Roman" w:hAnsi="Times New Roman"/>
                <w:color w:val="auto"/>
                <w:highlight w:val="none"/>
              </w:rPr>
            </w:pPr>
            <w:r>
              <w:rPr>
                <w:rFonts w:ascii="Times New Roman" w:hAnsi="Times New Roman"/>
                <w:color w:val="auto"/>
                <w:highlight w:val="none"/>
              </w:rPr>
              <w:t>b.</w:t>
            </w:r>
            <w:r>
              <w:rPr>
                <w:rFonts w:hint="default" w:ascii="Times New Roman" w:hAnsi="Times New Roman"/>
                <w:color w:val="auto"/>
                <w:highlight w:val="none"/>
              </w:rPr>
              <w:t>现场拉动测试</w:t>
            </w:r>
          </w:p>
          <w:p>
            <w:pPr>
              <w:spacing w:line="320" w:lineRule="exact"/>
              <w:jc w:val="center"/>
              <w:rPr>
                <w:rFonts w:hint="default" w:ascii="Times New Roman" w:hAnsi="Times New Roman"/>
                <w:color w:val="auto"/>
                <w:highlight w:val="none"/>
              </w:rPr>
            </w:pPr>
            <w:r>
              <w:rPr>
                <w:rFonts w:ascii="Times New Roman" w:hAnsi="Times New Roman"/>
                <w:color w:val="auto"/>
                <w:highlight w:val="none"/>
              </w:rPr>
              <w:t>c.</w:t>
            </w:r>
            <w:r>
              <w:rPr>
                <w:rFonts w:hint="default" w:ascii="Times New Roman" w:hAnsi="Times New Roman"/>
                <w:color w:val="auto"/>
                <w:highlight w:val="none"/>
              </w:rPr>
              <w:t>查看资料、随机提问至少1名队员</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top"/>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8</w:t>
            </w:r>
            <w:r>
              <w:rPr>
                <w:rFonts w:hint="default" w:ascii="Times New Roman" w:hAnsi="Times New Roman"/>
                <w:color w:val="auto"/>
                <w:highlight w:val="none"/>
                <w:lang w:val="en-US" w:eastAsia="zh-CN"/>
              </w:rPr>
              <w:t>5</w:t>
            </w:r>
            <w:r>
              <w:rPr>
                <w:rFonts w:ascii="Times New Roman" w:hAnsi="Times New Roman"/>
                <w:color w:val="auto"/>
                <w:highlight w:val="none"/>
              </w:rPr>
              <w:t>.</w:t>
            </w:r>
            <w:r>
              <w:rPr>
                <w:rFonts w:hint="default" w:ascii="Times New Roman" w:hAnsi="Times New Roman"/>
                <w:color w:val="auto"/>
                <w:highlight w:val="none"/>
              </w:rPr>
              <w:t>未</w:t>
            </w:r>
            <w:r>
              <w:rPr>
                <w:rFonts w:ascii="Times New Roman" w:hAnsi="Times New Roman"/>
                <w:color w:val="auto"/>
                <w:highlight w:val="none"/>
              </w:rPr>
              <w:t>参照《超高层建筑灭火救援技术处置队建设标准》建立技术处置队，并具备相应能力水平</w:t>
            </w:r>
            <w:r>
              <w:rPr>
                <w:rFonts w:hint="default" w:ascii="Times New Roman" w:hAnsi="Times New Roman"/>
                <w:color w:val="auto"/>
                <w:highlight w:val="none"/>
              </w:rPr>
              <w:t>的，扣5分</w:t>
            </w:r>
            <w:r>
              <w:rPr>
                <w:rFonts w:ascii="Times New Roman" w:hAnsi="Times New Roman"/>
                <w:color w:val="auto"/>
                <w:highlight w:val="none"/>
              </w:rPr>
              <w:t>。</w:t>
            </w:r>
          </w:p>
        </w:tc>
        <w:tc>
          <w:tcPr>
            <w:tcW w:w="1527" w:type="dxa"/>
            <w:noWrap w:val="0"/>
            <w:vAlign w:val="center"/>
          </w:tcPr>
          <w:p>
            <w:pPr>
              <w:spacing w:line="320" w:lineRule="exact"/>
              <w:jc w:val="center"/>
              <w:rPr>
                <w:rFonts w:hint="default" w:ascii="Times New Roman" w:hAnsi="Times New Roman"/>
                <w:color w:val="auto"/>
                <w:highlight w:val="none"/>
              </w:rPr>
            </w:pPr>
            <w:r>
              <w:rPr>
                <w:rFonts w:hint="default" w:ascii="Times New Roman" w:hAnsi="Times New Roman"/>
                <w:color w:val="auto"/>
                <w:highlight w:val="none"/>
              </w:rPr>
              <w:t>查看资料</w:t>
            </w:r>
          </w:p>
          <w:p>
            <w:pPr>
              <w:spacing w:line="320" w:lineRule="exact"/>
              <w:jc w:val="center"/>
              <w:rPr>
                <w:rFonts w:hint="default"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bl>
    <w:p>
      <w:pPr>
        <w:pStyle w:val="8"/>
        <w:jc w:val="center"/>
        <w:rPr>
          <w:rFonts w:ascii="Times New Roman" w:hAnsi="Times New Roman"/>
          <w:color w:val="auto"/>
          <w:highlight w:val="none"/>
        </w:rPr>
      </w:pPr>
      <w:r>
        <w:rPr>
          <w:rFonts w:ascii="Times New Roman" w:hAnsi="Times New Roman"/>
          <w:color w:val="auto"/>
          <w:highlight w:val="none"/>
        </w:rPr>
        <w:br w:type="page"/>
      </w:r>
      <w:r>
        <w:rPr>
          <w:rFonts w:ascii="Times New Roman" w:hAnsi="Times New Roman"/>
          <w:color w:val="auto"/>
          <w:highlight w:val="none"/>
        </w:rPr>
        <w:t>（</w:t>
      </w:r>
      <w:r>
        <w:rPr>
          <w:rFonts w:hint="default" w:ascii="Times New Roman" w:hAnsi="Times New Roman"/>
          <w:color w:val="auto"/>
          <w:highlight w:val="none"/>
        </w:rPr>
        <w:t>五</w:t>
      </w:r>
      <w:r>
        <w:rPr>
          <w:rFonts w:ascii="Times New Roman" w:hAnsi="Times New Roman"/>
          <w:color w:val="auto"/>
          <w:highlight w:val="none"/>
        </w:rPr>
        <w:t>）</w:t>
      </w:r>
      <w:r>
        <w:rPr>
          <w:rFonts w:hint="default" w:ascii="Times New Roman" w:hAnsi="Times New Roman"/>
          <w:color w:val="auto"/>
          <w:highlight w:val="none"/>
        </w:rPr>
        <w:t>工业建筑</w:t>
      </w:r>
      <w:r>
        <w:rPr>
          <w:rFonts w:ascii="Times New Roman" w:hAnsi="Times New Roman"/>
          <w:color w:val="auto"/>
          <w:highlight w:val="none"/>
        </w:rPr>
        <w:t>消防安全评估细则（100分）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4491"/>
        <w:gridCol w:w="5500"/>
        <w:gridCol w:w="152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54"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检查项目</w:t>
            </w:r>
          </w:p>
        </w:tc>
        <w:tc>
          <w:tcPr>
            <w:tcW w:w="4491"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检查内容</w:t>
            </w:r>
          </w:p>
        </w:tc>
        <w:tc>
          <w:tcPr>
            <w:tcW w:w="5500"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检查标准</w:t>
            </w:r>
          </w:p>
        </w:tc>
        <w:tc>
          <w:tcPr>
            <w:tcW w:w="1527"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检查方法</w:t>
            </w:r>
          </w:p>
        </w:tc>
        <w:tc>
          <w:tcPr>
            <w:tcW w:w="1106"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消防安全</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职责</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w:t>
            </w:r>
            <w:r>
              <w:rPr>
                <w:rFonts w:ascii="Times New Roman" w:hAnsi="Times New Roman"/>
                <w:b/>
                <w:color w:val="auto"/>
                <w:kern w:val="0"/>
                <w:sz w:val="24"/>
                <w:highlight w:val="none"/>
              </w:rPr>
              <w:t>分）</w:t>
            </w:r>
          </w:p>
        </w:tc>
        <w:tc>
          <w:tcPr>
            <w:tcW w:w="4491" w:type="dxa"/>
            <w:vMerge w:val="restart"/>
            <w:noWrap w:val="0"/>
            <w:vAlign w:val="center"/>
          </w:tcPr>
          <w:p>
            <w:pPr>
              <w:spacing w:line="320" w:lineRule="exact"/>
              <w:ind w:right="-107"/>
              <w:jc w:val="left"/>
              <w:rPr>
                <w:rFonts w:ascii="Times New Roman" w:hAnsi="Times New Roman"/>
                <w:color w:val="auto"/>
                <w:highlight w:val="none"/>
              </w:rPr>
            </w:pPr>
            <w:r>
              <w:rPr>
                <w:rFonts w:ascii="Times New Roman" w:hAnsi="Times New Roman"/>
                <w:color w:val="auto"/>
                <w:highlight w:val="none"/>
              </w:rPr>
              <w:t>1.是否建立逐级消防安全责任制，明确单位消防安全管理人员</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1.未明确单位消防安全管理人员的，扣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ind w:right="-107"/>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2.未明确各级消防安全责任人及工作职责，扣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noWrap w:val="0"/>
            <w:vAlign w:val="center"/>
          </w:tcPr>
          <w:p>
            <w:pPr>
              <w:spacing w:line="320" w:lineRule="exact"/>
              <w:ind w:right="-107"/>
              <w:jc w:val="left"/>
              <w:rPr>
                <w:rFonts w:ascii="Times New Roman" w:hAnsi="Times New Roman"/>
                <w:color w:val="auto"/>
                <w:highlight w:val="none"/>
              </w:rPr>
            </w:pPr>
            <w:r>
              <w:rPr>
                <w:rFonts w:ascii="Times New Roman" w:hAnsi="Times New Roman"/>
                <w:color w:val="auto"/>
                <w:highlight w:val="none"/>
              </w:rPr>
              <w:t>2.是否制定符合本单位实际的消防安全制度</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3.未</w:t>
            </w:r>
            <w:r>
              <w:rPr>
                <w:rFonts w:hint="default" w:ascii="Times New Roman" w:hAnsi="Times New Roman"/>
                <w:color w:val="auto"/>
                <w:highlight w:val="none"/>
              </w:rPr>
              <w:t>建立或健全</w:t>
            </w:r>
            <w:r>
              <w:rPr>
                <w:rFonts w:ascii="Times New Roman" w:hAnsi="Times New Roman"/>
                <w:color w:val="auto"/>
                <w:highlight w:val="none"/>
              </w:rPr>
              <w:t>本单位消防安全制度的，扣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建筑防火</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及安全</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疏散</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30</w:t>
            </w:r>
            <w:r>
              <w:rPr>
                <w:rFonts w:ascii="Times New Roman" w:hAnsi="Times New Roman"/>
                <w:b/>
                <w:color w:val="auto"/>
                <w:kern w:val="0"/>
                <w:sz w:val="24"/>
                <w:highlight w:val="none"/>
              </w:rPr>
              <w:t>分)</w:t>
            </w:r>
          </w:p>
          <w:p>
            <w:pPr>
              <w:widowControl/>
              <w:jc w:val="center"/>
              <w:rPr>
                <w:rFonts w:ascii="Times New Roman" w:hAnsi="Times New Roman"/>
                <w:b/>
                <w:color w:val="auto"/>
                <w:kern w:val="0"/>
                <w:sz w:val="24"/>
                <w:highlight w:val="none"/>
              </w:rPr>
            </w:pPr>
          </w:p>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3.总平面布局、灭火救援设施</w:t>
            </w:r>
            <w:r>
              <w:rPr>
                <w:rFonts w:ascii="Times New Roman" w:hAnsi="Times New Roman"/>
                <w:color w:val="auto"/>
                <w:highlight w:val="none"/>
              </w:rPr>
              <w:t>是否符合要求</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ascii="Times New Roman" w:hAnsi="Times New Roman"/>
                <w:color w:val="auto"/>
                <w:highlight w:val="none"/>
              </w:rPr>
              <w:t>.存在防火间距被占用或不足的，扣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5</w:t>
            </w:r>
            <w:r>
              <w:rPr>
                <w:rFonts w:ascii="Times New Roman" w:hAnsi="Times New Roman"/>
                <w:color w:val="auto"/>
                <w:highlight w:val="none"/>
              </w:rPr>
              <w:t>.存在堵塞或占用消防车道</w:t>
            </w:r>
            <w:r>
              <w:rPr>
                <w:rFonts w:hint="default" w:ascii="Times New Roman" w:hAnsi="Times New Roman"/>
                <w:color w:val="auto"/>
                <w:highlight w:val="none"/>
              </w:rPr>
              <w:t>、救援场地</w:t>
            </w:r>
            <w:r>
              <w:rPr>
                <w:rFonts w:hint="default" w:ascii="Times New Roman" w:hAnsi="Times New Roman"/>
                <w:color w:val="auto"/>
                <w:highlight w:val="none"/>
                <w:lang w:val="en-US" w:eastAsia="zh-CN"/>
              </w:rPr>
              <w:t>或消防车道、救援场地未落实标识化管理的</w:t>
            </w:r>
            <w:r>
              <w:rPr>
                <w:rFonts w:ascii="Times New Roman" w:hAnsi="Times New Roman"/>
                <w:color w:val="auto"/>
                <w:highlight w:val="none"/>
              </w:rPr>
              <w:t>，扣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6</w:t>
            </w:r>
            <w:r>
              <w:rPr>
                <w:rFonts w:ascii="Times New Roman" w:hAnsi="Times New Roman"/>
                <w:color w:val="auto"/>
                <w:highlight w:val="none"/>
              </w:rPr>
              <w:t>.人员密集场所外墙门窗上设置影响逃生和灭火救援的障碍物的，扣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7.消防电梯设置不符合要 求，扣5分</w:t>
            </w:r>
          </w:p>
        </w:tc>
        <w:tc>
          <w:tcPr>
            <w:tcW w:w="1527" w:type="dxa"/>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4耐火等级、平面布置、防火分隔是否符合要求</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8.</w:t>
            </w:r>
            <w:r>
              <w:rPr>
                <w:rFonts w:ascii="Times New Roman" w:hAnsi="Times New Roman"/>
                <w:color w:val="auto"/>
                <w:highlight w:val="none"/>
              </w:rPr>
              <w:t>建筑的耐火等级、</w:t>
            </w:r>
            <w:r>
              <w:rPr>
                <w:rFonts w:hint="default" w:ascii="Times New Roman" w:hAnsi="Times New Roman"/>
                <w:color w:val="auto"/>
                <w:highlight w:val="none"/>
              </w:rPr>
              <w:t>平面布置</w:t>
            </w:r>
            <w:r>
              <w:rPr>
                <w:rFonts w:ascii="Times New Roman" w:hAnsi="Times New Roman"/>
                <w:color w:val="auto"/>
                <w:highlight w:val="none"/>
              </w:rPr>
              <w:t>存在以下任意一种情形的扣</w:t>
            </w:r>
            <w:r>
              <w:rPr>
                <w:rFonts w:hint="default" w:ascii="Times New Roman" w:hAnsi="Times New Roman"/>
                <w:color w:val="auto"/>
                <w:highlight w:val="none"/>
              </w:rPr>
              <w:t>15</w:t>
            </w:r>
            <w:r>
              <w:rPr>
                <w:rFonts w:ascii="Times New Roman" w:hAnsi="Times New Roman"/>
                <w:color w:val="auto"/>
                <w:highlight w:val="none"/>
              </w:rPr>
              <w:t>分：</w:t>
            </w:r>
          </w:p>
          <w:p>
            <w:pPr>
              <w:spacing w:line="320" w:lineRule="exact"/>
              <w:ind w:firstLine="105" w:firstLineChars="50"/>
              <w:jc w:val="left"/>
              <w:rPr>
                <w:rFonts w:ascii="Times New Roman" w:hAnsi="Times New Roman"/>
                <w:color w:val="auto"/>
                <w:highlight w:val="none"/>
              </w:rPr>
            </w:pPr>
            <w:r>
              <w:rPr>
                <w:rFonts w:ascii="Times New Roman" w:hAnsi="Times New Roman"/>
                <w:color w:val="auto"/>
                <w:highlight w:val="none"/>
              </w:rPr>
              <w:t>a建筑耐火等级不符合规范要求的；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b.锅炉房、发电机房、变配电站（室）等设备用房平面布置不符合规范要求；</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c.其它场所平面布置不符合规范要求。</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9.防火分隔存在以下任意一种情况的扣10分：</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a.不同功能场所之间的防火分隔，或消防泵房、发电机房、锅炉房、变配电间、空调机房等重点用房的防火分隔不符合规范要求的；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b.中间仓库、厂房或仓库内的设置的办公室、休息室的防火分隔不符合规范要求的。</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10.防火分区或防火分隔设施存在以下任意一种情况的扣10分：</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a.擅自改变防火分区或防火分区的设置不符合规范要求;</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b.拆除或改变防火分隔设施；</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c.防火分隔设施不能正常运行的（如损坏、被阻挡等）。</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11</w:t>
            </w:r>
            <w:r>
              <w:rPr>
                <w:rFonts w:ascii="Times New Roman" w:hAnsi="Times New Roman"/>
                <w:color w:val="auto"/>
                <w:highlight w:val="none"/>
              </w:rPr>
              <w:t>.</w:t>
            </w:r>
            <w:r>
              <w:rPr>
                <w:rFonts w:hint="default" w:ascii="Times New Roman" w:hAnsi="Times New Roman"/>
                <w:color w:val="auto"/>
                <w:highlight w:val="none"/>
              </w:rPr>
              <w:t>生产、储存场所</w:t>
            </w:r>
            <w:r>
              <w:rPr>
                <w:rFonts w:ascii="Times New Roman" w:hAnsi="Times New Roman"/>
                <w:color w:val="auto"/>
                <w:highlight w:val="none"/>
              </w:rPr>
              <w:t>与居住场所设置在同一建筑物内，不符合消防技术标准的，扣</w:t>
            </w:r>
            <w:r>
              <w:rPr>
                <w:rFonts w:hint="default" w:ascii="Times New Roman" w:hAnsi="Times New Roman"/>
                <w:color w:val="auto"/>
                <w:highlight w:val="none"/>
              </w:rPr>
              <w:t>30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5.防火构造及室内装修是否符合规范要求</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12.防火构造（建筑构件、管道井、建筑保温、外墙装饰等）不符合规范要求的，扣10分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13</w:t>
            </w:r>
            <w:r>
              <w:rPr>
                <w:rFonts w:ascii="Times New Roman" w:hAnsi="Times New Roman"/>
                <w:color w:val="auto"/>
                <w:highlight w:val="none"/>
              </w:rPr>
              <w:t>.使用不符合消防技术标准的燃烧性能等级材料的，扣</w:t>
            </w:r>
            <w:r>
              <w:rPr>
                <w:rFonts w:hint="default" w:ascii="Times New Roman" w:hAnsi="Times New Roman"/>
                <w:color w:val="auto"/>
                <w:highlight w:val="none"/>
              </w:rPr>
              <w:t>5</w:t>
            </w:r>
            <w:r>
              <w:rPr>
                <w:rFonts w:ascii="Times New Roman" w:hAnsi="Times New Roman"/>
                <w:color w:val="auto"/>
                <w:highlight w:val="none"/>
              </w:rPr>
              <w:t>分；如属人员密集场所，使用易燃材料，不符合消防技术标准的，扣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noWrap w:val="0"/>
            <w:vAlign w:val="center"/>
          </w:tcPr>
          <w:p>
            <w:pPr>
              <w:rPr>
                <w:rFonts w:ascii="Times New Roman" w:hAnsi="Times New Roman"/>
                <w:color w:val="auto"/>
                <w:highlight w:val="none"/>
              </w:rPr>
            </w:pPr>
            <w:r>
              <w:rPr>
                <w:rFonts w:hint="default" w:ascii="Times New Roman" w:hAnsi="Times New Roman"/>
                <w:color w:val="auto"/>
                <w:highlight w:val="none"/>
              </w:rPr>
              <w:t>6.其它建筑防火要求</w:t>
            </w:r>
          </w:p>
        </w:tc>
        <w:tc>
          <w:tcPr>
            <w:tcW w:w="5500" w:type="dxa"/>
            <w:noWrap w:val="0"/>
            <w:vAlign w:val="center"/>
          </w:tcPr>
          <w:p>
            <w:pPr>
              <w:rPr>
                <w:rFonts w:ascii="Times New Roman" w:hAnsi="Times New Roman"/>
                <w:color w:val="auto"/>
                <w:highlight w:val="none"/>
              </w:rPr>
            </w:pPr>
            <w:r>
              <w:rPr>
                <w:rFonts w:hint="default" w:ascii="Times New Roman" w:hAnsi="Times New Roman"/>
                <w:color w:val="auto"/>
                <w:highlight w:val="none"/>
              </w:rPr>
              <w:t>14.供暖、通风、空气调节系统未采取防火措施的，扣5分。</w:t>
            </w:r>
          </w:p>
          <w:p>
            <w:pPr>
              <w:rPr>
                <w:rFonts w:ascii="Times New Roman" w:hAnsi="Times New Roman"/>
                <w:color w:val="auto"/>
                <w:highlight w:val="none"/>
              </w:rPr>
            </w:pPr>
            <w:r>
              <w:rPr>
                <w:rFonts w:hint="default" w:ascii="Times New Roman" w:hAnsi="Times New Roman"/>
                <w:color w:val="auto"/>
                <w:highlight w:val="none"/>
              </w:rPr>
              <w:t>15.有爆炸危险的场所防爆、泄压设施不符合要求的，扣5分。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7</w:t>
            </w:r>
            <w:r>
              <w:rPr>
                <w:rFonts w:ascii="Times New Roman" w:hAnsi="Times New Roman"/>
                <w:color w:val="auto"/>
                <w:highlight w:val="none"/>
              </w:rPr>
              <w:t xml:space="preserve">.安全疏散设施及管理是否符合要求 </w:t>
            </w: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6</w:t>
            </w:r>
            <w:r>
              <w:rPr>
                <w:rFonts w:ascii="Times New Roman" w:hAnsi="Times New Roman"/>
                <w:color w:val="auto"/>
                <w:highlight w:val="none"/>
              </w:rPr>
              <w:t>.疏散通道、安全出口数量不足的，扣</w:t>
            </w:r>
            <w:r>
              <w:rPr>
                <w:rFonts w:hint="default" w:ascii="Times New Roman" w:hAnsi="Times New Roman"/>
                <w:color w:val="auto"/>
                <w:highlight w:val="none"/>
              </w:rPr>
              <w:t>15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r>
              <w:rPr>
                <w:rFonts w:hint="default" w:ascii="Times New Roman" w:hAnsi="Times New Roman"/>
                <w:b/>
                <w:color w:val="auto"/>
                <w:highlight w:val="none"/>
              </w:rPr>
              <w:t>借用另一处场所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b/>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17</w:t>
            </w:r>
            <w:r>
              <w:rPr>
                <w:rFonts w:ascii="Times New Roman" w:hAnsi="Times New Roman"/>
                <w:color w:val="auto"/>
                <w:highlight w:val="none"/>
              </w:rPr>
              <w:t>.疏散通道、安全出口的其他设置不符合消防技术标准的，扣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b/>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18</w:t>
            </w:r>
            <w:r>
              <w:rPr>
                <w:rFonts w:ascii="Times New Roman" w:hAnsi="Times New Roman"/>
                <w:color w:val="auto"/>
                <w:highlight w:val="none"/>
              </w:rPr>
              <w:t>.占用、堵塞、封闭疏散通道、安全出口的，扣</w:t>
            </w:r>
            <w:r>
              <w:rPr>
                <w:rFonts w:hint="default" w:ascii="Times New Roman" w:hAnsi="Times New Roman"/>
                <w:color w:val="auto"/>
                <w:highlight w:val="none"/>
              </w:rPr>
              <w:t>10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19</w:t>
            </w:r>
            <w:r>
              <w:rPr>
                <w:rFonts w:ascii="Times New Roman" w:hAnsi="Times New Roman"/>
                <w:color w:val="auto"/>
                <w:highlight w:val="none"/>
              </w:rPr>
              <w:t>.</w:t>
            </w:r>
            <w:r>
              <w:rPr>
                <w:rFonts w:hint="default" w:ascii="Times New Roman" w:hAnsi="Times New Roman"/>
                <w:color w:val="auto"/>
                <w:highlight w:val="none"/>
              </w:rPr>
              <w:t>疏散通道、安全出口的</w:t>
            </w:r>
            <w:r>
              <w:rPr>
                <w:rFonts w:ascii="Times New Roman" w:hAnsi="Times New Roman"/>
                <w:color w:val="auto"/>
                <w:highlight w:val="none"/>
              </w:rPr>
              <w:t>防火门未保持完好有效的，扣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20</w:t>
            </w:r>
            <w:r>
              <w:rPr>
                <w:rFonts w:hint="default" w:ascii="Times New Roman" w:hAnsi="Times New Roman"/>
                <w:color w:val="auto"/>
                <w:highlight w:val="none"/>
              </w:rPr>
              <w:t>.内部公共区域、疏散走道和疏散楼梯间存在电动自行车违规停放或充电，发现一处扣5分，扣完10分为止。</w:t>
            </w:r>
          </w:p>
        </w:tc>
        <w:tc>
          <w:tcPr>
            <w:tcW w:w="1527" w:type="dxa"/>
            <w:noWrap w:val="0"/>
            <w:vAlign w:val="center"/>
          </w:tcPr>
          <w:p>
            <w:pPr>
              <w:spacing w:line="320" w:lineRule="exact"/>
              <w:jc w:val="center"/>
              <w:rPr>
                <w:rFonts w:ascii="Times New Roman" w:hAnsi="Times New Roman"/>
                <w:color w:val="auto"/>
                <w:highlight w:val="none"/>
              </w:rPr>
            </w:pPr>
          </w:p>
        </w:tc>
        <w:tc>
          <w:tcPr>
            <w:tcW w:w="1106" w:type="dxa"/>
            <w:noWrap w:val="0"/>
            <w:vAlign w:val="center"/>
          </w:tcPr>
          <w:p>
            <w:pPr>
              <w:spacing w:line="320" w:lineRule="exact"/>
              <w:jc w:val="left"/>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rPr>
                <w:rFonts w:ascii="Times New Roman" w:hAnsi="Times New Roman"/>
                <w:b/>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1</w:t>
            </w:r>
            <w:r>
              <w:rPr>
                <w:rFonts w:ascii="Times New Roman" w:hAnsi="Times New Roman"/>
                <w:color w:val="auto"/>
                <w:highlight w:val="none"/>
              </w:rPr>
              <w:t>.消防应急照明、疏散指示标志设置不符合消防技术标准的，扣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2</w:t>
            </w:r>
            <w:r>
              <w:rPr>
                <w:rFonts w:ascii="Times New Roman" w:hAnsi="Times New Roman"/>
                <w:color w:val="auto"/>
                <w:highlight w:val="none"/>
              </w:rPr>
              <w:t>.未在明显位置设置安全疏散指示图的，扣1分。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消防设施器材</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30</w:t>
            </w:r>
            <w:r>
              <w:rPr>
                <w:rFonts w:ascii="Times New Roman" w:hAnsi="Times New Roman"/>
                <w:b/>
                <w:color w:val="auto"/>
                <w:kern w:val="0"/>
                <w:sz w:val="24"/>
                <w:highlight w:val="none"/>
              </w:rPr>
              <w:t>分）</w:t>
            </w: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8</w:t>
            </w:r>
            <w:r>
              <w:rPr>
                <w:rFonts w:ascii="Times New Roman" w:hAnsi="Times New Roman"/>
                <w:color w:val="auto"/>
                <w:highlight w:val="none"/>
              </w:rPr>
              <w:t>.消防设施是否完备好用</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3</w:t>
            </w:r>
            <w:r>
              <w:rPr>
                <w:rFonts w:ascii="Times New Roman" w:hAnsi="Times New Roman"/>
                <w:color w:val="auto"/>
                <w:highlight w:val="none"/>
              </w:rPr>
              <w:t>.存在</w:t>
            </w:r>
            <w:r>
              <w:rPr>
                <w:rFonts w:hint="default" w:ascii="Times New Roman" w:hAnsi="Times New Roman"/>
                <w:color w:val="auto"/>
                <w:highlight w:val="none"/>
              </w:rPr>
              <w:t>以下</w:t>
            </w:r>
            <w:r>
              <w:rPr>
                <w:rFonts w:ascii="Times New Roman" w:hAnsi="Times New Roman"/>
                <w:color w:val="auto"/>
                <w:highlight w:val="none"/>
              </w:rPr>
              <w:t>应设而未设消防设施</w:t>
            </w:r>
            <w:r>
              <w:rPr>
                <w:rFonts w:hint="default" w:ascii="Times New Roman" w:hAnsi="Times New Roman"/>
                <w:color w:val="auto"/>
                <w:highlight w:val="none"/>
              </w:rPr>
              <w:t>或已设置但不能正常运行的，</w:t>
            </w:r>
            <w:r>
              <w:rPr>
                <w:rFonts w:ascii="Times New Roman" w:hAnsi="Times New Roman"/>
                <w:color w:val="auto"/>
                <w:highlight w:val="none"/>
              </w:rPr>
              <w:t>每发现一项扣</w:t>
            </w:r>
            <w:r>
              <w:rPr>
                <w:rFonts w:hint="default" w:ascii="Times New Roman" w:hAnsi="Times New Roman"/>
                <w:color w:val="auto"/>
                <w:highlight w:val="none"/>
              </w:rPr>
              <w:t>10</w:t>
            </w:r>
            <w:r>
              <w:rPr>
                <w:rFonts w:ascii="Times New Roman" w:hAnsi="Times New Roman"/>
                <w:color w:val="auto"/>
                <w:highlight w:val="none"/>
              </w:rPr>
              <w:t>分。</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a.未按规范要求设置消防给水及消火栓系统或已设置但不能正常运行的；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b.未按规范要求设置火灾自动报警系统或已设置但不能正常运行的；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c.未按规范要求设置自动灭火系统或已设置但不能正常运行的；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d.未按规范要求设置防、排烟设施或已设置但不能正常运行的；</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e.未按规范要求设置灭火器或已设置但未保持完好有效的。</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p>
            <w:pPr>
              <w:spacing w:line="320" w:lineRule="exact"/>
              <w:jc w:val="center"/>
              <w:rPr>
                <w:rFonts w:ascii="Times New Roman" w:hAnsi="Times New Roman"/>
                <w:color w:val="auto"/>
                <w:highlight w:val="none"/>
              </w:rPr>
            </w:pPr>
            <w:r>
              <w:rPr>
                <w:rFonts w:ascii="Times New Roman" w:hAnsi="Times New Roman"/>
                <w:color w:val="auto"/>
                <w:highlight w:val="none"/>
              </w:rPr>
              <w:t>测试消防设施</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4</w:t>
            </w:r>
            <w:r>
              <w:rPr>
                <w:rFonts w:ascii="Times New Roman" w:hAnsi="Times New Roman"/>
                <w:color w:val="auto"/>
                <w:highlight w:val="none"/>
              </w:rPr>
              <w:t>.消防设施器材的其他设置不符合消防技术标准的，每发现一项扣</w:t>
            </w:r>
            <w:r>
              <w:rPr>
                <w:rFonts w:hint="default" w:ascii="Times New Roman" w:hAnsi="Times New Roman"/>
                <w:color w:val="auto"/>
                <w:highlight w:val="none"/>
              </w:rPr>
              <w:t>5</w:t>
            </w:r>
            <w:r>
              <w:rPr>
                <w:rFonts w:ascii="Times New Roman" w:hAnsi="Times New Roman"/>
                <w:color w:val="auto"/>
                <w:highlight w:val="none"/>
              </w:rPr>
              <w:t>分</w:t>
            </w:r>
            <w:r>
              <w:rPr>
                <w:rFonts w:hint="default" w:ascii="Times New Roman" w:hAnsi="Times New Roman"/>
                <w:color w:val="auto"/>
                <w:highlight w:val="none"/>
              </w:rPr>
              <w:t>，共10分扣完为止</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5</w:t>
            </w:r>
            <w:r>
              <w:rPr>
                <w:rFonts w:ascii="Times New Roman" w:hAnsi="Times New Roman"/>
                <w:color w:val="auto"/>
                <w:highlight w:val="none"/>
              </w:rPr>
              <w:t>.未确定自动消防设施维护保养单位的，扣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w:t>
            </w:r>
            <w:r>
              <w:rPr>
                <w:rFonts w:hint="default" w:ascii="Times New Roman" w:hAnsi="Times New Roman"/>
                <w:color w:val="auto"/>
                <w:highlight w:val="none"/>
                <w:lang w:val="en-US" w:eastAsia="zh-CN"/>
              </w:rPr>
              <w:t>6</w:t>
            </w:r>
            <w:r>
              <w:rPr>
                <w:rFonts w:ascii="Times New Roman" w:hAnsi="Times New Roman"/>
                <w:color w:val="auto"/>
                <w:highlight w:val="none"/>
              </w:rPr>
              <w:t>.未每月开展消防设施维护保养的，扣</w:t>
            </w:r>
            <w:r>
              <w:rPr>
                <w:rFonts w:hint="default" w:ascii="Times New Roman" w:hAnsi="Times New Roman"/>
                <w:color w:val="auto"/>
                <w:highlight w:val="none"/>
              </w:rPr>
              <w:t>5</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7</w:t>
            </w:r>
            <w:r>
              <w:rPr>
                <w:rFonts w:ascii="Times New Roman" w:hAnsi="Times New Roman"/>
                <w:color w:val="auto"/>
                <w:highlight w:val="none"/>
              </w:rPr>
              <w:t>.消防设施被遮挡、圈占、埋压的，每发现一项扣</w:t>
            </w:r>
            <w:r>
              <w:rPr>
                <w:rFonts w:hint="default" w:ascii="Times New Roman" w:hAnsi="Times New Roman"/>
                <w:color w:val="auto"/>
                <w:highlight w:val="none"/>
              </w:rPr>
              <w:t>5</w:t>
            </w:r>
            <w:r>
              <w:rPr>
                <w:rFonts w:ascii="Times New Roman" w:hAnsi="Times New Roman"/>
                <w:color w:val="auto"/>
                <w:highlight w:val="none"/>
              </w:rPr>
              <w:t>分</w:t>
            </w:r>
            <w:r>
              <w:rPr>
                <w:rFonts w:hint="default" w:ascii="Times New Roman" w:hAnsi="Times New Roman"/>
                <w:color w:val="auto"/>
                <w:highlight w:val="none"/>
              </w:rPr>
              <w:t>，共10分扣完为止</w:t>
            </w:r>
            <w:r>
              <w:rPr>
                <w:rFonts w:ascii="Times New Roman" w:hAnsi="Times New Roman"/>
                <w:color w:val="auto"/>
                <w:highlight w:val="none"/>
              </w:rPr>
              <w:t>。</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消防控制室</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w:t>
            </w:r>
            <w:r>
              <w:rPr>
                <w:rFonts w:ascii="Times New Roman" w:hAnsi="Times New Roman"/>
                <w:b/>
                <w:color w:val="auto"/>
                <w:kern w:val="0"/>
                <w:sz w:val="24"/>
                <w:highlight w:val="none"/>
              </w:rPr>
              <w:t>分)</w:t>
            </w:r>
          </w:p>
        </w:tc>
        <w:tc>
          <w:tcPr>
            <w:tcW w:w="4491" w:type="dxa"/>
            <w:vMerge w:val="restart"/>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9</w:t>
            </w:r>
            <w:r>
              <w:rPr>
                <w:rFonts w:ascii="Times New Roman" w:hAnsi="Times New Roman"/>
                <w:color w:val="auto"/>
                <w:highlight w:val="none"/>
              </w:rPr>
              <w:t>.消防控制室的管理是否符合要求</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8</w:t>
            </w:r>
            <w:r>
              <w:rPr>
                <w:rFonts w:ascii="Times New Roman" w:hAnsi="Times New Roman"/>
                <w:color w:val="auto"/>
                <w:highlight w:val="none"/>
              </w:rPr>
              <w:t>.消防控制室的设置不符合消防技术标准的，扣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2</w:t>
            </w:r>
            <w:r>
              <w:rPr>
                <w:rFonts w:hint="default" w:ascii="Times New Roman" w:hAnsi="Times New Roman"/>
                <w:color w:val="auto"/>
                <w:highlight w:val="none"/>
                <w:lang w:val="en-US" w:eastAsia="zh-CN"/>
              </w:rPr>
              <w:t>9</w:t>
            </w:r>
            <w:r>
              <w:rPr>
                <w:rFonts w:ascii="Times New Roman" w:hAnsi="Times New Roman"/>
                <w:color w:val="auto"/>
                <w:highlight w:val="none"/>
              </w:rPr>
              <w:t>.消防控制室未落实双人值班的，扣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30</w:t>
            </w:r>
            <w:r>
              <w:rPr>
                <w:rFonts w:ascii="Times New Roman" w:hAnsi="Times New Roman"/>
                <w:color w:val="auto"/>
                <w:highlight w:val="none"/>
              </w:rPr>
              <w:t>.消防控制室值班记录不齐全的，扣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1</w:t>
            </w:r>
            <w:r>
              <w:rPr>
                <w:rFonts w:ascii="Times New Roman" w:hAnsi="Times New Roman"/>
                <w:color w:val="auto"/>
                <w:highlight w:val="none"/>
              </w:rPr>
              <w:t>.消防控制室值班人员未持证上岗的，扣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2</w:t>
            </w:r>
            <w:r>
              <w:rPr>
                <w:rFonts w:ascii="Times New Roman" w:hAnsi="Times New Roman"/>
                <w:color w:val="auto"/>
                <w:highlight w:val="none"/>
              </w:rPr>
              <w:t>.消防控制室值班人员处置程序不熟悉的，扣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随机提问1名值班人员</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3</w:t>
            </w:r>
            <w:r>
              <w:rPr>
                <w:rFonts w:ascii="Times New Roman" w:hAnsi="Times New Roman"/>
                <w:color w:val="auto"/>
                <w:highlight w:val="none"/>
              </w:rPr>
              <w:t>.未建立、悬挂《消防控制室管理制度》、《消防控制室值班人员职责》、《火灾接警处警程序》、《消防控制室管理及应急程序》的，扣</w:t>
            </w:r>
            <w:r>
              <w:rPr>
                <w:rFonts w:hint="default" w:ascii="Times New Roman" w:hAnsi="Times New Roman"/>
                <w:color w:val="auto"/>
                <w:highlight w:val="none"/>
              </w:rPr>
              <w:t>1</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4</w:t>
            </w:r>
            <w:r>
              <w:rPr>
                <w:rFonts w:ascii="Times New Roman" w:hAnsi="Times New Roman"/>
                <w:color w:val="auto"/>
                <w:highlight w:val="none"/>
              </w:rPr>
              <w:t>.未按照《消防控制室通用技术要求》4.1条规定保存有关消防工作的纸质或电子档案资料的，扣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用火用电</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10</w:t>
            </w:r>
            <w:r>
              <w:rPr>
                <w:rFonts w:ascii="Times New Roman" w:hAnsi="Times New Roman"/>
                <w:b/>
                <w:color w:val="auto"/>
                <w:kern w:val="0"/>
                <w:sz w:val="24"/>
                <w:highlight w:val="none"/>
              </w:rPr>
              <w:t>分)</w:t>
            </w:r>
          </w:p>
        </w:tc>
        <w:tc>
          <w:tcPr>
            <w:tcW w:w="449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10</w:t>
            </w:r>
            <w:r>
              <w:rPr>
                <w:rFonts w:ascii="Times New Roman" w:hAnsi="Times New Roman"/>
                <w:color w:val="auto"/>
                <w:highlight w:val="none"/>
              </w:rPr>
              <w:t>.电气</w:t>
            </w:r>
            <w:r>
              <w:rPr>
                <w:rFonts w:hint="default" w:ascii="Times New Roman" w:hAnsi="Times New Roman"/>
                <w:color w:val="auto"/>
                <w:highlight w:val="none"/>
              </w:rPr>
              <w:t>防火</w:t>
            </w:r>
            <w:r>
              <w:rPr>
                <w:rFonts w:ascii="Times New Roman" w:hAnsi="Times New Roman"/>
                <w:color w:val="auto"/>
                <w:highlight w:val="none"/>
              </w:rPr>
              <w:t>是否符合要求</w:t>
            </w:r>
          </w:p>
        </w:tc>
        <w:tc>
          <w:tcPr>
            <w:tcW w:w="5500" w:type="dxa"/>
            <w:noWrap w:val="0"/>
            <w:vAlign w:val="center"/>
          </w:tcPr>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5</w:t>
            </w:r>
            <w:r>
              <w:rPr>
                <w:rFonts w:ascii="Times New Roman" w:hAnsi="Times New Roman"/>
                <w:color w:val="auto"/>
                <w:highlight w:val="none"/>
              </w:rPr>
              <w:t>.</w:t>
            </w:r>
            <w:r>
              <w:rPr>
                <w:rFonts w:hint="default" w:ascii="Times New Roman" w:hAnsi="Times New Roman"/>
                <w:color w:val="auto"/>
                <w:highlight w:val="none"/>
              </w:rPr>
              <w:t>电气线路敷设、电气设备使用不规范，存在以下情形之一的，扣10分:</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a电器设备超负荷使用；</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b用铜丝、铁丝等代替保险丝；</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c电热炉、电加热器、电暖器、电饭锅、电熨斗、电热毯等电热器具使用后未采取拔出电源插销等切断电源的措施；</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d对产生高温或使用明火的设备，未限制周围可燃物或使用期间未设专人监护；</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e未安装新型防短路、防过载、防电弧断路保护开关并选用合格电气产品的；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f属于消防安全重点单位未安装智慧用电探测装置、传输终端和监测平台的；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g供、用电线路未根据国家电气技术标准，采取穿金属管、封闭式金属线槽或者绝缘阻燃PVC电工套管保护措施的；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rPr>
              <w:t>h强电线路未按规定使用阻燃电缆或电气线路违规使用易燃电线电缆的；</w:t>
            </w:r>
          </w:p>
          <w:p>
            <w:pPr>
              <w:spacing w:line="320" w:lineRule="exact"/>
              <w:jc w:val="left"/>
              <w:rPr>
                <w:rFonts w:hint="default" w:ascii="Times New Roman" w:hAnsi="Times New Roman"/>
                <w:color w:val="auto"/>
                <w:kern w:val="2"/>
                <w:sz w:val="21"/>
                <w:szCs w:val="22"/>
                <w:highlight w:val="none"/>
              </w:rPr>
            </w:pPr>
            <w:r>
              <w:rPr>
                <w:rFonts w:hint="default" w:ascii="Times New Roman" w:hAnsi="Times New Roman"/>
                <w:color w:val="auto"/>
                <w:highlight w:val="none"/>
              </w:rPr>
              <w:t>i开关、电闸、配电箱未使用符合国家市场准入电气产品的；</w:t>
            </w:r>
            <w:r>
              <w:rPr>
                <w:rFonts w:hint="default" w:ascii="Times New Roman" w:hAnsi="Times New Roman"/>
                <w:color w:val="auto"/>
                <w:highlight w:val="none"/>
                <w:lang w:val="en-US" w:eastAsia="zh-CN"/>
              </w:rPr>
              <w:t>j</w:t>
            </w:r>
            <w:r>
              <w:rPr>
                <w:rFonts w:hint="default" w:ascii="Times New Roman" w:hAnsi="Times New Roman"/>
                <w:color w:val="auto"/>
                <w:kern w:val="2"/>
                <w:sz w:val="21"/>
                <w:szCs w:val="22"/>
                <w:highlight w:val="none"/>
              </w:rPr>
              <w:t>私拉电线、乱装插座为电动自行车充电</w:t>
            </w:r>
            <w:r>
              <w:rPr>
                <w:rFonts w:hint="default" w:ascii="Times New Roman" w:hAnsi="Times New Roman"/>
                <w:color w:val="auto"/>
                <w:kern w:val="2"/>
                <w:sz w:val="21"/>
                <w:szCs w:val="22"/>
                <w:highlight w:val="none"/>
                <w:lang w:val="en-US" w:eastAsia="zh-CN"/>
              </w:rPr>
              <w:t>的；</w:t>
            </w:r>
          </w:p>
          <w:p>
            <w:pPr>
              <w:spacing w:line="320" w:lineRule="exact"/>
              <w:jc w:val="left"/>
              <w:rPr>
                <w:rFonts w:hint="default" w:ascii="Times New Roman" w:hAnsi="Times New Roman"/>
                <w:color w:val="auto"/>
                <w:highlight w:val="none"/>
              </w:rPr>
            </w:pPr>
            <w:r>
              <w:rPr>
                <w:rFonts w:hint="default" w:ascii="Times New Roman" w:hAnsi="Times New Roman"/>
                <w:color w:val="auto"/>
                <w:highlight w:val="none"/>
                <w:lang w:val="en-US" w:eastAsia="zh-CN"/>
              </w:rPr>
              <w:t>k</w:t>
            </w:r>
            <w:r>
              <w:rPr>
                <w:rFonts w:hint="default" w:ascii="Times New Roman" w:hAnsi="Times New Roman"/>
                <w:color w:val="auto"/>
                <w:highlight w:val="none"/>
              </w:rPr>
              <w:t>未聘请具备资质的电气检测服务机构实施线路检测，落实电气线路年度全面检测和日常维护保养，并及时更换老化损坏的电气线路的；</w:t>
            </w:r>
          </w:p>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l</w:t>
            </w:r>
            <w:r>
              <w:rPr>
                <w:rFonts w:hint="default" w:ascii="Times New Roman" w:hAnsi="Times New Roman"/>
                <w:color w:val="auto"/>
                <w:highlight w:val="none"/>
              </w:rPr>
              <w:t>存在其他不符合广东省地方标准《建筑电气防火检测技术规程》（DBJ/T 15—123—2018）具体要求的问题。</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11</w:t>
            </w:r>
            <w:r>
              <w:rPr>
                <w:rFonts w:ascii="Times New Roman" w:hAnsi="Times New Roman"/>
                <w:color w:val="auto"/>
                <w:highlight w:val="none"/>
              </w:rPr>
              <w:t>.用火、动火</w:t>
            </w:r>
            <w:r>
              <w:rPr>
                <w:rFonts w:hint="default" w:ascii="Times New Roman" w:hAnsi="Times New Roman"/>
                <w:color w:val="auto"/>
                <w:highlight w:val="none"/>
              </w:rPr>
              <w:t>及易燃易爆危险品的管理</w:t>
            </w:r>
            <w:r>
              <w:rPr>
                <w:rFonts w:ascii="Times New Roman" w:hAnsi="Times New Roman"/>
                <w:color w:val="auto"/>
                <w:highlight w:val="none"/>
              </w:rPr>
              <w:t>是否符合要求</w:t>
            </w:r>
            <w:r>
              <w:rPr>
                <w:rFonts w:hint="default" w:ascii="Times New Roman" w:hAnsi="Times New Roman"/>
                <w:color w:val="auto"/>
                <w:highlight w:val="none"/>
              </w:rPr>
              <w:t>。</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6</w:t>
            </w:r>
            <w:r>
              <w:rPr>
                <w:rFonts w:ascii="Times New Roman" w:hAnsi="Times New Roman"/>
                <w:color w:val="auto"/>
                <w:highlight w:val="none"/>
              </w:rPr>
              <w:t>.发现违规使用明火、</w:t>
            </w:r>
            <w:r>
              <w:rPr>
                <w:rFonts w:hint="default" w:ascii="Times New Roman" w:hAnsi="Times New Roman"/>
                <w:color w:val="auto"/>
                <w:highlight w:val="none"/>
              </w:rPr>
              <w:t>未落实</w:t>
            </w:r>
            <w:r>
              <w:rPr>
                <w:rFonts w:ascii="Times New Roman" w:hAnsi="Times New Roman"/>
                <w:color w:val="auto"/>
                <w:highlight w:val="none"/>
              </w:rPr>
              <w:t>易燃易爆危险物品</w:t>
            </w:r>
            <w:r>
              <w:rPr>
                <w:rFonts w:hint="default" w:ascii="Times New Roman" w:hAnsi="Times New Roman"/>
                <w:color w:val="auto"/>
                <w:highlight w:val="none"/>
              </w:rPr>
              <w:t>管理要求</w:t>
            </w:r>
            <w:r>
              <w:rPr>
                <w:rFonts w:ascii="Times New Roman" w:hAnsi="Times New Roman"/>
                <w:color w:val="auto"/>
                <w:highlight w:val="none"/>
              </w:rPr>
              <w:t>的，扣1</w:t>
            </w:r>
            <w:r>
              <w:rPr>
                <w:rFonts w:hint="default" w:ascii="Times New Roman" w:hAnsi="Times New Roman"/>
                <w:color w:val="auto"/>
                <w:highlight w:val="none"/>
              </w:rPr>
              <w:t>0</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防火检查和巡查</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w:t>
            </w:r>
            <w:r>
              <w:rPr>
                <w:rFonts w:ascii="Times New Roman" w:hAnsi="Times New Roman"/>
                <w:b/>
                <w:color w:val="auto"/>
                <w:kern w:val="0"/>
                <w:sz w:val="24"/>
                <w:highlight w:val="none"/>
              </w:rPr>
              <w:t>分)</w:t>
            </w:r>
          </w:p>
        </w:tc>
        <w:tc>
          <w:tcPr>
            <w:tcW w:w="4491" w:type="dxa"/>
            <w:vMerge w:val="restart"/>
            <w:noWrap w:val="0"/>
            <w:vAlign w:val="center"/>
          </w:tcPr>
          <w:p>
            <w:pPr>
              <w:spacing w:line="240" w:lineRule="exact"/>
              <w:jc w:val="left"/>
              <w:rPr>
                <w:rFonts w:ascii="Times New Roman" w:hAnsi="Times New Roman"/>
                <w:color w:val="auto"/>
                <w:highlight w:val="none"/>
              </w:rPr>
            </w:pPr>
            <w:r>
              <w:rPr>
                <w:rFonts w:hint="default" w:ascii="Times New Roman" w:hAnsi="Times New Roman"/>
                <w:color w:val="auto"/>
                <w:highlight w:val="none"/>
              </w:rPr>
              <w:t>12</w:t>
            </w:r>
            <w:r>
              <w:rPr>
                <w:rFonts w:ascii="Times New Roman" w:hAnsi="Times New Roman"/>
                <w:color w:val="auto"/>
                <w:highlight w:val="none"/>
              </w:rPr>
              <w:t>.是否每日开展防火巡查，每月开展至少一次防火检查。</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7</w:t>
            </w:r>
            <w:r>
              <w:rPr>
                <w:rFonts w:ascii="Times New Roman" w:hAnsi="Times New Roman"/>
                <w:color w:val="auto"/>
                <w:highlight w:val="none"/>
              </w:rPr>
              <w:t>.未按要求每日组织开展每日防火巡查的，扣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8</w:t>
            </w:r>
            <w:r>
              <w:rPr>
                <w:rFonts w:ascii="Times New Roman" w:hAnsi="Times New Roman"/>
                <w:color w:val="auto"/>
                <w:highlight w:val="none"/>
              </w:rPr>
              <w:t>.未按要求每月组织开展防火检查的，扣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354" w:type="dxa"/>
            <w:vMerge w:val="continue"/>
            <w:noWrap w:val="0"/>
            <w:vAlign w:val="center"/>
          </w:tcPr>
          <w:p>
            <w:pPr>
              <w:widowControl/>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3</w:t>
            </w:r>
            <w:r>
              <w:rPr>
                <w:rFonts w:hint="default" w:ascii="Times New Roman" w:hAnsi="Times New Roman"/>
                <w:color w:val="auto"/>
                <w:highlight w:val="none"/>
                <w:lang w:val="en-US" w:eastAsia="zh-CN"/>
              </w:rPr>
              <w:t>9</w:t>
            </w:r>
            <w:r>
              <w:rPr>
                <w:rFonts w:ascii="Times New Roman" w:hAnsi="Times New Roman"/>
                <w:color w:val="auto"/>
                <w:highlight w:val="none"/>
              </w:rPr>
              <w:t>.防火巡查、检查记录不齐全或填写不规范的，扣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exac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火灾事故应急处置准备工作</w:t>
            </w:r>
          </w:p>
          <w:p>
            <w:pPr>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5</w:t>
            </w:r>
            <w:r>
              <w:rPr>
                <w:rFonts w:ascii="Times New Roman" w:hAnsi="Times New Roman"/>
                <w:b/>
                <w:color w:val="auto"/>
                <w:kern w:val="0"/>
                <w:sz w:val="24"/>
                <w:highlight w:val="none"/>
              </w:rPr>
              <w:t>分）</w:t>
            </w:r>
          </w:p>
        </w:tc>
        <w:tc>
          <w:tcPr>
            <w:tcW w:w="4491" w:type="dxa"/>
            <w:vMerge w:val="restart"/>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3</w:t>
            </w:r>
            <w:r>
              <w:rPr>
                <w:rFonts w:ascii="Times New Roman" w:hAnsi="Times New Roman"/>
                <w:color w:val="auto"/>
                <w:highlight w:val="none"/>
              </w:rPr>
              <w:t>.是否制定灭火和应急疏散预案，并定期开展演练。</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lang w:val="en-US" w:eastAsia="zh-CN"/>
              </w:rPr>
              <w:t>40</w:t>
            </w:r>
            <w:r>
              <w:rPr>
                <w:rFonts w:ascii="Times New Roman" w:hAnsi="Times New Roman"/>
                <w:color w:val="auto"/>
                <w:highlight w:val="none"/>
              </w:rPr>
              <w:t>.单位未制定预案并组织演练的，扣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354" w:type="dxa"/>
            <w:vMerge w:val="continue"/>
            <w:noWrap w:val="0"/>
            <w:vAlign w:val="center"/>
          </w:tcPr>
          <w:p>
            <w:pP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1</w:t>
            </w:r>
            <w:r>
              <w:rPr>
                <w:rFonts w:ascii="Times New Roman" w:hAnsi="Times New Roman"/>
                <w:color w:val="auto"/>
                <w:highlight w:val="none"/>
              </w:rPr>
              <w:t>.单位已制定预案，但未定期组织演练的，扣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4</w:t>
            </w:r>
            <w:r>
              <w:rPr>
                <w:rFonts w:ascii="Times New Roman" w:hAnsi="Times New Roman"/>
                <w:color w:val="auto"/>
                <w:highlight w:val="none"/>
              </w:rPr>
              <w:t>.是否按有关规定建立专职消防队或志愿消防队</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2</w:t>
            </w:r>
            <w:r>
              <w:rPr>
                <w:rFonts w:ascii="Times New Roman" w:hAnsi="Times New Roman"/>
                <w:color w:val="auto"/>
                <w:highlight w:val="none"/>
              </w:rPr>
              <w:t>.未按规定建立专职消防队或志愿消防队的，扣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3</w:t>
            </w:r>
            <w:r>
              <w:rPr>
                <w:rFonts w:ascii="Times New Roman" w:hAnsi="Times New Roman"/>
                <w:color w:val="auto"/>
                <w:highlight w:val="none"/>
              </w:rPr>
              <w:t>.人员密集场所志愿消防队队员数量少于本场所从业人员数量30%的，扣</w:t>
            </w:r>
            <w:r>
              <w:rPr>
                <w:rFonts w:hint="default" w:ascii="Times New Roman" w:hAnsi="Times New Roman"/>
                <w:color w:val="auto"/>
                <w:highlight w:val="none"/>
              </w:rPr>
              <w:t>1</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exact"/>
          <w:jc w:val="center"/>
        </w:trPr>
        <w:tc>
          <w:tcPr>
            <w:tcW w:w="1354" w:type="dxa"/>
            <w:vMerge w:val="continue"/>
            <w:noWrap w:val="0"/>
            <w:vAlign w:val="center"/>
          </w:tcPr>
          <w:p>
            <w:pPr>
              <w:jc w:val="center"/>
              <w:rPr>
                <w:rFonts w:ascii="Times New Roman" w:hAnsi="Times New Roman"/>
                <w:b/>
                <w:color w:val="auto"/>
                <w:kern w:val="0"/>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4</w:t>
            </w:r>
            <w:r>
              <w:rPr>
                <w:rFonts w:hint="default" w:ascii="Times New Roman" w:hAnsi="Times New Roman"/>
                <w:color w:val="auto"/>
                <w:highlight w:val="none"/>
              </w:rPr>
              <w:t>.属于年度消防安全重点单位名录的单位未按规定建立微型消防站及相关管理制度，配齐配全人员装备的，扣2分。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jc w:val="center"/>
        </w:trPr>
        <w:tc>
          <w:tcPr>
            <w:tcW w:w="1354" w:type="dxa"/>
            <w:vMerge w:val="restart"/>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消防宣传</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教育培训</w:t>
            </w:r>
          </w:p>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w:t>
            </w:r>
            <w:r>
              <w:rPr>
                <w:rFonts w:hint="default" w:ascii="Times New Roman" w:hAnsi="Times New Roman"/>
                <w:b/>
                <w:color w:val="auto"/>
                <w:kern w:val="0"/>
                <w:sz w:val="24"/>
                <w:highlight w:val="none"/>
              </w:rPr>
              <w:t>10</w:t>
            </w:r>
            <w:r>
              <w:rPr>
                <w:rFonts w:ascii="Times New Roman" w:hAnsi="Times New Roman"/>
                <w:b/>
                <w:color w:val="auto"/>
                <w:kern w:val="0"/>
                <w:sz w:val="24"/>
                <w:highlight w:val="none"/>
              </w:rPr>
              <w:t>分)</w:t>
            </w:r>
          </w:p>
        </w:tc>
        <w:tc>
          <w:tcPr>
            <w:tcW w:w="4491"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5</w:t>
            </w:r>
            <w:r>
              <w:rPr>
                <w:rFonts w:ascii="Times New Roman" w:hAnsi="Times New Roman"/>
                <w:color w:val="auto"/>
                <w:highlight w:val="none"/>
              </w:rPr>
              <w:t>.是否开展经常性消防安全宣传工作</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5</w:t>
            </w:r>
            <w:r>
              <w:rPr>
                <w:rFonts w:ascii="Times New Roman" w:hAnsi="Times New Roman"/>
                <w:color w:val="auto"/>
                <w:highlight w:val="none"/>
              </w:rPr>
              <w:t>.未开展经常性消防安全宣传的，扣</w:t>
            </w:r>
            <w:r>
              <w:rPr>
                <w:rFonts w:hint="default" w:ascii="Times New Roman" w:hAnsi="Times New Roman"/>
                <w:color w:val="auto"/>
                <w:highlight w:val="none"/>
              </w:rPr>
              <w:t>2</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354" w:type="dxa"/>
            <w:vMerge w:val="continue"/>
            <w:noWrap w:val="0"/>
            <w:vAlign w:val="center"/>
          </w:tcPr>
          <w:p>
            <w:pPr>
              <w:spacing w:line="300" w:lineRule="exact"/>
              <w:jc w:val="center"/>
              <w:rPr>
                <w:rFonts w:ascii="Times New Roman" w:hAnsi="Times New Roman" w:eastAsia="仿宋_GB2312"/>
                <w:b/>
                <w:bCs/>
                <w:color w:val="auto"/>
                <w:sz w:val="24"/>
                <w:highlight w:val="none"/>
              </w:rPr>
            </w:pPr>
          </w:p>
        </w:tc>
        <w:tc>
          <w:tcPr>
            <w:tcW w:w="4491" w:type="dxa"/>
            <w:vMerge w:val="restart"/>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w:t>
            </w:r>
            <w:r>
              <w:rPr>
                <w:rFonts w:hint="default" w:ascii="Times New Roman" w:hAnsi="Times New Roman"/>
                <w:color w:val="auto"/>
                <w:highlight w:val="none"/>
              </w:rPr>
              <w:t>6</w:t>
            </w:r>
            <w:r>
              <w:rPr>
                <w:rFonts w:ascii="Times New Roman" w:hAnsi="Times New Roman"/>
                <w:color w:val="auto"/>
                <w:highlight w:val="none"/>
              </w:rPr>
              <w:t>.是否组织员工每年至少开展一次消防培训（人员密集场所每半年至少一次），新上岗的员工开展岗前消防培训</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6</w:t>
            </w:r>
            <w:r>
              <w:rPr>
                <w:rFonts w:ascii="Times New Roman" w:hAnsi="Times New Roman"/>
                <w:color w:val="auto"/>
                <w:highlight w:val="none"/>
              </w:rPr>
              <w:t>.未定期组织员工开展消防培训的，扣</w:t>
            </w:r>
            <w:r>
              <w:rPr>
                <w:rFonts w:hint="default" w:ascii="Times New Roman" w:hAnsi="Times New Roman"/>
                <w:color w:val="auto"/>
                <w:highlight w:val="none"/>
              </w:rPr>
              <w:t>3</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查看资料</w:t>
            </w:r>
          </w:p>
        </w:tc>
        <w:tc>
          <w:tcPr>
            <w:tcW w:w="1106"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exact"/>
          <w:jc w:val="center"/>
        </w:trPr>
        <w:tc>
          <w:tcPr>
            <w:tcW w:w="1354" w:type="dxa"/>
            <w:vMerge w:val="continue"/>
            <w:noWrap w:val="0"/>
            <w:vAlign w:val="center"/>
          </w:tcPr>
          <w:p>
            <w:pPr>
              <w:spacing w:line="300" w:lineRule="exact"/>
              <w:jc w:val="center"/>
              <w:rPr>
                <w:rFonts w:ascii="Times New Roman" w:hAnsi="Times New Roman" w:eastAsia="仿宋_GB2312"/>
                <w:b/>
                <w:bCs/>
                <w:color w:val="auto"/>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7</w:t>
            </w:r>
            <w:r>
              <w:rPr>
                <w:rFonts w:ascii="Times New Roman" w:hAnsi="Times New Roman"/>
                <w:color w:val="auto"/>
                <w:highlight w:val="none"/>
              </w:rPr>
              <w:t>.</w:t>
            </w:r>
            <w:r>
              <w:rPr>
                <w:rFonts w:hint="default" w:ascii="Times New Roman" w:hAnsi="Times New Roman"/>
                <w:color w:val="auto"/>
                <w:highlight w:val="none"/>
              </w:rPr>
              <w:t>员工不能正确回答以下问题的，</w:t>
            </w:r>
            <w:r>
              <w:rPr>
                <w:rFonts w:ascii="Times New Roman" w:hAnsi="Times New Roman"/>
                <w:color w:val="auto"/>
                <w:highlight w:val="none"/>
              </w:rPr>
              <w:t>扣</w:t>
            </w:r>
            <w:r>
              <w:rPr>
                <w:rFonts w:hint="default" w:ascii="Times New Roman" w:hAnsi="Times New Roman"/>
                <w:color w:val="auto"/>
                <w:highlight w:val="none"/>
              </w:rPr>
              <w:t>4</w:t>
            </w:r>
            <w:r>
              <w:rPr>
                <w:rFonts w:ascii="Times New Roman" w:hAnsi="Times New Roman"/>
                <w:color w:val="auto"/>
                <w:highlight w:val="none"/>
              </w:rPr>
              <w:t>分。</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a.发生火灾后如何报警；</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b.发生火灾后如何进行扑救；</w:t>
            </w:r>
          </w:p>
          <w:p>
            <w:pPr>
              <w:spacing w:line="320" w:lineRule="exact"/>
              <w:ind w:firstLine="105" w:firstLineChars="50"/>
              <w:jc w:val="left"/>
              <w:rPr>
                <w:rFonts w:ascii="Times New Roman" w:hAnsi="Times New Roman"/>
                <w:color w:val="auto"/>
                <w:highlight w:val="none"/>
              </w:rPr>
            </w:pPr>
            <w:r>
              <w:rPr>
                <w:rFonts w:hint="default" w:ascii="Times New Roman" w:hAnsi="Times New Roman"/>
                <w:color w:val="auto"/>
                <w:highlight w:val="none"/>
              </w:rPr>
              <w:t>c.如何在火灾中逃生和疏散。</w:t>
            </w:r>
          </w:p>
        </w:tc>
        <w:tc>
          <w:tcPr>
            <w:tcW w:w="1527" w:type="dxa"/>
            <w:vMerge w:val="restart"/>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随机抽查员工</w:t>
            </w:r>
          </w:p>
        </w:tc>
        <w:tc>
          <w:tcPr>
            <w:tcW w:w="1106" w:type="dxa"/>
            <w:vMerge w:val="restart"/>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1354" w:type="dxa"/>
            <w:vMerge w:val="continue"/>
            <w:noWrap w:val="0"/>
            <w:vAlign w:val="center"/>
          </w:tcPr>
          <w:p>
            <w:pPr>
              <w:spacing w:line="300" w:lineRule="exact"/>
              <w:jc w:val="center"/>
              <w:rPr>
                <w:rFonts w:ascii="Times New Roman" w:hAnsi="Times New Roman" w:eastAsia="仿宋_GB2312"/>
                <w:b/>
                <w:bCs/>
                <w:color w:val="auto"/>
                <w:sz w:val="24"/>
                <w:highlight w:val="none"/>
              </w:rPr>
            </w:pPr>
          </w:p>
        </w:tc>
        <w:tc>
          <w:tcPr>
            <w:tcW w:w="4491" w:type="dxa"/>
            <w:vMerge w:val="continue"/>
            <w:noWrap w:val="0"/>
            <w:vAlign w:val="center"/>
          </w:tcPr>
          <w:p>
            <w:pPr>
              <w:spacing w:line="320" w:lineRule="exact"/>
              <w:jc w:val="left"/>
              <w:rPr>
                <w:rFonts w:ascii="Times New Roman" w:hAnsi="Times New Roman"/>
                <w:color w:val="auto"/>
                <w:highlight w:val="none"/>
              </w:rPr>
            </w:pP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8</w:t>
            </w:r>
            <w:r>
              <w:rPr>
                <w:rFonts w:ascii="Times New Roman" w:hAnsi="Times New Roman"/>
                <w:color w:val="auto"/>
                <w:highlight w:val="none"/>
              </w:rPr>
              <w:t>.员工不熟悉本岗位消防安全职责的，每1名扣</w:t>
            </w:r>
            <w:r>
              <w:rPr>
                <w:rFonts w:hint="default" w:ascii="Times New Roman" w:hAnsi="Times New Roman"/>
                <w:color w:val="auto"/>
                <w:highlight w:val="none"/>
              </w:rPr>
              <w:t>1分</w:t>
            </w:r>
            <w:r>
              <w:rPr>
                <w:rFonts w:ascii="Times New Roman" w:hAnsi="Times New Roman"/>
                <w:color w:val="auto"/>
                <w:highlight w:val="none"/>
              </w:rPr>
              <w:t>，扣完</w:t>
            </w:r>
            <w:r>
              <w:rPr>
                <w:rFonts w:hint="default" w:ascii="Times New Roman" w:hAnsi="Times New Roman"/>
                <w:color w:val="auto"/>
                <w:highlight w:val="none"/>
              </w:rPr>
              <w:t>2分</w:t>
            </w:r>
            <w:r>
              <w:rPr>
                <w:rFonts w:ascii="Times New Roman" w:hAnsi="Times New Roman"/>
                <w:color w:val="auto"/>
                <w:highlight w:val="none"/>
              </w:rPr>
              <w:t>为止。</w:t>
            </w:r>
          </w:p>
        </w:tc>
        <w:tc>
          <w:tcPr>
            <w:tcW w:w="1527" w:type="dxa"/>
            <w:vMerge w:val="continue"/>
            <w:noWrap w:val="0"/>
            <w:vAlign w:val="center"/>
          </w:tcPr>
          <w:p>
            <w:pPr>
              <w:spacing w:line="320" w:lineRule="exact"/>
              <w:jc w:val="center"/>
              <w:rPr>
                <w:rFonts w:ascii="Times New Roman" w:hAnsi="Times New Roman"/>
                <w:color w:val="auto"/>
                <w:highlight w:val="none"/>
              </w:rPr>
            </w:pPr>
          </w:p>
        </w:tc>
        <w:tc>
          <w:tcPr>
            <w:tcW w:w="1106" w:type="dxa"/>
            <w:vMerge w:val="continue"/>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354" w:type="dxa"/>
            <w:vMerge w:val="continue"/>
            <w:noWrap w:val="0"/>
            <w:vAlign w:val="center"/>
          </w:tcPr>
          <w:p>
            <w:pPr>
              <w:spacing w:line="300" w:lineRule="exact"/>
              <w:jc w:val="center"/>
              <w:rPr>
                <w:rFonts w:ascii="Times New Roman" w:hAnsi="Times New Roman" w:eastAsia="仿宋_GB2312"/>
                <w:b/>
                <w:bCs/>
                <w:color w:val="auto"/>
                <w:sz w:val="24"/>
                <w:highlight w:val="none"/>
              </w:rPr>
            </w:pPr>
          </w:p>
        </w:tc>
        <w:tc>
          <w:tcPr>
            <w:tcW w:w="4491" w:type="dxa"/>
            <w:noWrap w:val="0"/>
            <w:vAlign w:val="center"/>
          </w:tcPr>
          <w:p>
            <w:pPr>
              <w:spacing w:line="320" w:lineRule="exact"/>
              <w:jc w:val="left"/>
              <w:rPr>
                <w:rFonts w:hint="default" w:ascii="Times New Roman" w:hAnsi="Times New Roman" w:eastAsia="宋体"/>
                <w:color w:val="auto"/>
                <w:highlight w:val="none"/>
                <w:lang w:val="en-US" w:eastAsia="zh-CN"/>
              </w:rPr>
            </w:pPr>
            <w:r>
              <w:rPr>
                <w:rFonts w:ascii="Times New Roman" w:hAnsi="Times New Roman"/>
                <w:color w:val="auto"/>
                <w:highlight w:val="none"/>
              </w:rPr>
              <w:t>1</w:t>
            </w:r>
            <w:r>
              <w:rPr>
                <w:rFonts w:hint="default" w:ascii="Times New Roman" w:hAnsi="Times New Roman"/>
                <w:color w:val="auto"/>
                <w:highlight w:val="none"/>
              </w:rPr>
              <w:t>7</w:t>
            </w:r>
            <w:r>
              <w:rPr>
                <w:rFonts w:ascii="Times New Roman" w:hAnsi="Times New Roman"/>
                <w:color w:val="auto"/>
                <w:highlight w:val="none"/>
              </w:rPr>
              <w:t>.人员密集场所是否在场所内张贴《关于人员密集场所加强火灾防范的通告》</w:t>
            </w:r>
            <w:r>
              <w:rPr>
                <w:rFonts w:hint="default" w:ascii="Times New Roman" w:hAnsi="Times New Roman"/>
                <w:color w:val="auto"/>
                <w:highlight w:val="none"/>
                <w:lang w:eastAsia="zh-CN"/>
              </w:rPr>
              <w:t>；</w:t>
            </w:r>
            <w:r>
              <w:rPr>
                <w:rFonts w:hint="default" w:ascii="Times New Roman" w:hAnsi="Times New Roman"/>
                <w:color w:val="auto"/>
                <w:highlight w:val="none"/>
                <w:lang w:val="en-US" w:eastAsia="zh-CN"/>
              </w:rPr>
              <w:t>是否普及宣传电动自行车安全使用和安全充电知识，在禁止停放电动自行车的建筑和场所出入口张贴“电动自行车不得入内”标识。</w:t>
            </w:r>
          </w:p>
        </w:tc>
        <w:tc>
          <w:tcPr>
            <w:tcW w:w="5500" w:type="dxa"/>
            <w:noWrap w:val="0"/>
            <w:vAlign w:val="center"/>
          </w:tcPr>
          <w:p>
            <w:pPr>
              <w:spacing w:line="320" w:lineRule="exact"/>
              <w:jc w:val="left"/>
              <w:rPr>
                <w:rFonts w:ascii="Times New Roman" w:hAnsi="Times New Roman"/>
                <w:color w:val="auto"/>
                <w:highlight w:val="none"/>
              </w:rPr>
            </w:pPr>
            <w:r>
              <w:rPr>
                <w:rFonts w:hint="default" w:ascii="Times New Roman" w:hAnsi="Times New Roman"/>
                <w:color w:val="auto"/>
                <w:highlight w:val="none"/>
              </w:rPr>
              <w:t>4</w:t>
            </w:r>
            <w:r>
              <w:rPr>
                <w:rFonts w:hint="default" w:ascii="Times New Roman" w:hAnsi="Times New Roman"/>
                <w:color w:val="auto"/>
                <w:highlight w:val="none"/>
                <w:lang w:val="en-US" w:eastAsia="zh-CN"/>
              </w:rPr>
              <w:t>9</w:t>
            </w:r>
            <w:r>
              <w:rPr>
                <w:rFonts w:ascii="Times New Roman" w:hAnsi="Times New Roman"/>
                <w:color w:val="auto"/>
                <w:highlight w:val="none"/>
              </w:rPr>
              <w:t>.未按要求张贴的，扣</w:t>
            </w:r>
            <w:r>
              <w:rPr>
                <w:rFonts w:hint="default" w:ascii="Times New Roman" w:hAnsi="Times New Roman"/>
                <w:color w:val="auto"/>
                <w:highlight w:val="none"/>
              </w:rPr>
              <w:t>1</w:t>
            </w:r>
            <w:r>
              <w:rPr>
                <w:rFonts w:ascii="Times New Roman" w:hAnsi="Times New Roman"/>
                <w:color w:val="auto"/>
                <w:highlight w:val="none"/>
              </w:rPr>
              <w:t>分。</w:t>
            </w:r>
          </w:p>
        </w:tc>
        <w:tc>
          <w:tcPr>
            <w:tcW w:w="1527"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1106" w:type="dxa"/>
            <w:noWrap w:val="0"/>
            <w:vAlign w:val="center"/>
          </w:tcPr>
          <w:p>
            <w:pPr>
              <w:spacing w:line="320" w:lineRule="exact"/>
              <w:jc w:val="left"/>
              <w:rPr>
                <w:rFonts w:ascii="Times New Roman" w:hAnsi="Times New Roman"/>
                <w:color w:val="auto"/>
                <w:highlight w:val="none"/>
              </w:rPr>
            </w:pPr>
          </w:p>
        </w:tc>
      </w:tr>
    </w:tbl>
    <w:p>
      <w:pPr>
        <w:spacing w:line="480" w:lineRule="exact"/>
        <w:jc w:val="center"/>
        <w:rPr>
          <w:rFonts w:ascii="Times New Roman" w:hAnsi="Times New Roman"/>
          <w:bCs/>
          <w:color w:val="auto"/>
          <w:sz w:val="28"/>
          <w:szCs w:val="28"/>
          <w:highlight w:val="none"/>
          <w:u w:val="single"/>
        </w:rPr>
      </w:pPr>
    </w:p>
    <w:p>
      <w:pPr>
        <w:pStyle w:val="8"/>
        <w:jc w:val="center"/>
        <w:rPr>
          <w:rFonts w:ascii="Times New Roman" w:hAnsi="Times New Roman"/>
          <w:color w:val="auto"/>
          <w:highlight w:val="none"/>
        </w:rPr>
      </w:pPr>
      <w:r>
        <w:rPr>
          <w:rFonts w:ascii="Times New Roman" w:hAnsi="Times New Roman"/>
          <w:color w:val="auto"/>
          <w:highlight w:val="none"/>
        </w:rPr>
        <w:t>（</w:t>
      </w:r>
      <w:r>
        <w:rPr>
          <w:rFonts w:hint="default" w:ascii="Times New Roman" w:hAnsi="Times New Roman"/>
          <w:color w:val="auto"/>
          <w:highlight w:val="none"/>
        </w:rPr>
        <w:t>六</w:t>
      </w:r>
      <w:r>
        <w:rPr>
          <w:rFonts w:ascii="Times New Roman" w:hAnsi="Times New Roman"/>
          <w:color w:val="auto"/>
          <w:highlight w:val="none"/>
        </w:rPr>
        <w:t>）市政消火栓建设评估细则（100分）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765"/>
        <w:gridCol w:w="8367"/>
        <w:gridCol w:w="1582"/>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07"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项目</w:t>
            </w:r>
          </w:p>
        </w:tc>
        <w:tc>
          <w:tcPr>
            <w:tcW w:w="1765"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检查内容</w:t>
            </w:r>
          </w:p>
        </w:tc>
        <w:tc>
          <w:tcPr>
            <w:tcW w:w="8367"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检查标准</w:t>
            </w:r>
          </w:p>
        </w:tc>
        <w:tc>
          <w:tcPr>
            <w:tcW w:w="1582"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检查方法</w:t>
            </w:r>
          </w:p>
        </w:tc>
        <w:tc>
          <w:tcPr>
            <w:tcW w:w="869" w:type="dxa"/>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07" w:type="dxa"/>
            <w:vMerge w:val="restart"/>
            <w:noWrap w:val="0"/>
            <w:vAlign w:val="center"/>
          </w:tcPr>
          <w:p>
            <w:pPr>
              <w:widowControl/>
              <w:jc w:val="center"/>
              <w:rPr>
                <w:rFonts w:ascii="Times New Roman" w:hAnsi="Times New Roman" w:eastAsia="仿宋_GB2312"/>
                <w:color w:val="auto"/>
                <w:sz w:val="24"/>
                <w:highlight w:val="none"/>
              </w:rPr>
            </w:pPr>
            <w:r>
              <w:rPr>
                <w:rFonts w:ascii="Times New Roman" w:hAnsi="Times New Roman"/>
                <w:b/>
                <w:color w:val="auto"/>
                <w:kern w:val="0"/>
                <w:sz w:val="24"/>
                <w:highlight w:val="none"/>
              </w:rPr>
              <w:t>市政消火栓建设    （100分）</w:t>
            </w:r>
          </w:p>
        </w:tc>
        <w:tc>
          <w:tcPr>
            <w:tcW w:w="1765" w:type="dxa"/>
            <w:vMerge w:val="restart"/>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是否按标准建设市政消火栓，并保持完好有效。</w:t>
            </w:r>
          </w:p>
        </w:tc>
        <w:tc>
          <w:tcPr>
            <w:tcW w:w="8367"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1.主干道每120m应建设1个市政消火栓。检查</w:t>
            </w:r>
            <w:r>
              <w:rPr>
                <w:rFonts w:hint="default" w:ascii="Times New Roman" w:hAnsi="Times New Roman"/>
                <w:color w:val="auto"/>
                <w:highlight w:val="none"/>
              </w:rPr>
              <w:t>重点地区</w:t>
            </w:r>
            <w:r>
              <w:rPr>
                <w:rFonts w:ascii="Times New Roman" w:hAnsi="Times New Roman"/>
                <w:color w:val="auto"/>
                <w:highlight w:val="none"/>
              </w:rPr>
              <w:t>所有主干道上的市政消火栓，检查发现缺少1个扣10分，损坏1个扣5分。</w:t>
            </w:r>
          </w:p>
        </w:tc>
        <w:tc>
          <w:tcPr>
            <w:tcW w:w="1582" w:type="dxa"/>
            <w:noWrap w:val="0"/>
            <w:vAlign w:val="center"/>
          </w:tcPr>
          <w:p>
            <w:pPr>
              <w:spacing w:line="320" w:lineRule="exact"/>
              <w:jc w:val="center"/>
              <w:rPr>
                <w:rFonts w:ascii="Times New Roman" w:hAnsi="Times New Roman"/>
                <w:color w:val="auto"/>
                <w:highlight w:val="none"/>
              </w:rPr>
            </w:pPr>
            <w:r>
              <w:rPr>
                <w:rFonts w:ascii="Times New Roman" w:hAnsi="Times New Roman"/>
                <w:color w:val="auto"/>
                <w:highlight w:val="none"/>
              </w:rPr>
              <w:t>实地查看</w:t>
            </w:r>
          </w:p>
        </w:tc>
        <w:tc>
          <w:tcPr>
            <w:tcW w:w="869"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07" w:type="dxa"/>
            <w:vMerge w:val="continue"/>
            <w:noWrap w:val="0"/>
            <w:vAlign w:val="center"/>
          </w:tcPr>
          <w:p>
            <w:pPr>
              <w:widowControl/>
              <w:jc w:val="center"/>
              <w:rPr>
                <w:rFonts w:ascii="Times New Roman" w:hAnsi="Times New Roman"/>
                <w:b/>
                <w:color w:val="auto"/>
                <w:kern w:val="0"/>
                <w:sz w:val="24"/>
                <w:highlight w:val="none"/>
              </w:rPr>
            </w:pPr>
          </w:p>
        </w:tc>
        <w:tc>
          <w:tcPr>
            <w:tcW w:w="1765" w:type="dxa"/>
            <w:vMerge w:val="continue"/>
            <w:noWrap w:val="0"/>
            <w:vAlign w:val="center"/>
          </w:tcPr>
          <w:p>
            <w:pPr>
              <w:spacing w:line="320" w:lineRule="exact"/>
              <w:jc w:val="left"/>
              <w:rPr>
                <w:rFonts w:ascii="Times New Roman" w:hAnsi="Times New Roman"/>
                <w:color w:val="auto"/>
                <w:highlight w:val="none"/>
              </w:rPr>
            </w:pPr>
          </w:p>
        </w:tc>
        <w:tc>
          <w:tcPr>
            <w:tcW w:w="8367"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2.市政消火栓距路边小于0.5m或大于2.0m的，发现1个扣2分。当市政道路宽度超过60m时，未在道路的两侧交叉错落设置市政消火栓的，发现1处扣5分。</w:t>
            </w:r>
          </w:p>
        </w:tc>
        <w:tc>
          <w:tcPr>
            <w:tcW w:w="1582" w:type="dxa"/>
            <w:noWrap w:val="0"/>
            <w:vAlign w:val="center"/>
          </w:tcPr>
          <w:p>
            <w:pPr>
              <w:jc w:val="center"/>
              <w:rPr>
                <w:rFonts w:ascii="Times New Roman" w:hAnsi="Times New Roman"/>
                <w:color w:val="auto"/>
                <w:highlight w:val="none"/>
              </w:rPr>
            </w:pPr>
            <w:r>
              <w:rPr>
                <w:rFonts w:ascii="Times New Roman" w:hAnsi="Times New Roman"/>
                <w:color w:val="auto"/>
                <w:highlight w:val="none"/>
              </w:rPr>
              <w:t>实地查看</w:t>
            </w:r>
          </w:p>
        </w:tc>
        <w:tc>
          <w:tcPr>
            <w:tcW w:w="869" w:type="dxa"/>
            <w:noWrap w:val="0"/>
            <w:vAlign w:val="center"/>
          </w:tcPr>
          <w:p>
            <w:pPr>
              <w:spacing w:line="320" w:lineRule="exact"/>
              <w:jc w:val="lef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07" w:type="dxa"/>
            <w:vMerge w:val="continue"/>
            <w:noWrap w:val="0"/>
            <w:vAlign w:val="center"/>
          </w:tcPr>
          <w:p>
            <w:pPr>
              <w:widowControl/>
              <w:jc w:val="center"/>
              <w:rPr>
                <w:rFonts w:ascii="Times New Roman" w:hAnsi="Times New Roman"/>
                <w:b/>
                <w:color w:val="auto"/>
                <w:kern w:val="0"/>
                <w:sz w:val="24"/>
                <w:highlight w:val="none"/>
              </w:rPr>
            </w:pPr>
          </w:p>
        </w:tc>
        <w:tc>
          <w:tcPr>
            <w:tcW w:w="1765" w:type="dxa"/>
            <w:vMerge w:val="continue"/>
            <w:noWrap w:val="0"/>
            <w:vAlign w:val="center"/>
          </w:tcPr>
          <w:p>
            <w:pPr>
              <w:spacing w:line="320" w:lineRule="exact"/>
              <w:jc w:val="left"/>
              <w:rPr>
                <w:rFonts w:ascii="Times New Roman" w:hAnsi="Times New Roman"/>
                <w:color w:val="auto"/>
                <w:highlight w:val="none"/>
              </w:rPr>
            </w:pPr>
          </w:p>
        </w:tc>
        <w:tc>
          <w:tcPr>
            <w:tcW w:w="8367" w:type="dxa"/>
            <w:noWrap w:val="0"/>
            <w:vAlign w:val="center"/>
          </w:tcPr>
          <w:p>
            <w:pPr>
              <w:spacing w:line="320" w:lineRule="exact"/>
              <w:jc w:val="left"/>
              <w:rPr>
                <w:rFonts w:ascii="Times New Roman" w:hAnsi="Times New Roman"/>
                <w:color w:val="auto"/>
                <w:highlight w:val="none"/>
              </w:rPr>
            </w:pPr>
            <w:r>
              <w:rPr>
                <w:rFonts w:ascii="Times New Roman" w:hAnsi="Times New Roman"/>
                <w:color w:val="auto"/>
                <w:highlight w:val="none"/>
              </w:rPr>
              <w:t>3.市政消火栓最小供水压力低于0.15MPa的，发现一处扣2分。</w:t>
            </w:r>
          </w:p>
        </w:tc>
        <w:tc>
          <w:tcPr>
            <w:tcW w:w="1582" w:type="dxa"/>
            <w:noWrap w:val="0"/>
            <w:vAlign w:val="center"/>
          </w:tcPr>
          <w:p>
            <w:pPr>
              <w:jc w:val="center"/>
              <w:rPr>
                <w:rFonts w:ascii="Times New Roman" w:hAnsi="Times New Roman"/>
                <w:color w:val="auto"/>
                <w:highlight w:val="none"/>
              </w:rPr>
            </w:pPr>
            <w:r>
              <w:rPr>
                <w:rFonts w:ascii="Times New Roman" w:hAnsi="Times New Roman"/>
                <w:color w:val="auto"/>
                <w:highlight w:val="none"/>
              </w:rPr>
              <w:t>实地测试</w:t>
            </w:r>
          </w:p>
        </w:tc>
        <w:tc>
          <w:tcPr>
            <w:tcW w:w="869" w:type="dxa"/>
            <w:noWrap w:val="0"/>
            <w:vAlign w:val="center"/>
          </w:tcPr>
          <w:p>
            <w:pPr>
              <w:spacing w:line="320" w:lineRule="exact"/>
              <w:jc w:val="left"/>
              <w:rPr>
                <w:rFonts w:ascii="Times New Roman" w:hAnsi="Times New Roman"/>
                <w:color w:val="auto"/>
                <w:highlight w:val="none"/>
              </w:rPr>
            </w:pPr>
          </w:p>
        </w:tc>
      </w:tr>
    </w:tbl>
    <w:p>
      <w:pPr>
        <w:spacing w:line="480" w:lineRule="exact"/>
        <w:jc w:val="center"/>
        <w:rPr>
          <w:rFonts w:ascii="Times New Roman" w:hAnsi="Times New Roman"/>
          <w:color w:val="auto"/>
          <w:highlight w:val="none"/>
        </w:rPr>
      </w:pPr>
      <w:r>
        <w:rPr>
          <w:rFonts w:ascii="Times New Roman" w:hAnsi="Times New Roman"/>
          <w:color w:val="auto"/>
          <w:highlight w:val="none"/>
        </w:rPr>
        <w:br w:type="page"/>
      </w:r>
      <w:r>
        <w:rPr>
          <w:rFonts w:hint="default" w:ascii="Times New Roman" w:hAnsi="Times New Roman"/>
          <w:b/>
          <w:color w:val="auto"/>
          <w:sz w:val="32"/>
          <w:szCs w:val="32"/>
          <w:highlight w:val="none"/>
        </w:rPr>
        <w:t>（七）多种形式消防队伍建设评估细则（100分）</w:t>
      </w:r>
    </w:p>
    <w:tbl>
      <w:tblPr>
        <w:tblStyle w:val="24"/>
        <w:tblW w:w="0" w:type="auto"/>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839"/>
        <w:gridCol w:w="754"/>
        <w:gridCol w:w="1620"/>
        <w:gridCol w:w="1440"/>
        <w:gridCol w:w="1440"/>
        <w:gridCol w:w="900"/>
        <w:gridCol w:w="567"/>
        <w:gridCol w:w="1593"/>
        <w:gridCol w:w="1441"/>
        <w:gridCol w:w="1080"/>
        <w:gridCol w:w="716"/>
        <w:gridCol w:w="1365"/>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Merge w:val="restart"/>
            <w:noWrap w:val="0"/>
            <w:vAlign w:val="center"/>
          </w:tcPr>
          <w:p>
            <w:pPr>
              <w:jc w:val="center"/>
              <w:rPr>
                <w:rFonts w:ascii="Times New Roman" w:hAnsi="Times New Roman"/>
                <w:b/>
                <w:color w:val="auto"/>
                <w:highlight w:val="none"/>
              </w:rPr>
            </w:pPr>
            <w:r>
              <w:rPr>
                <w:rFonts w:hint="default" w:ascii="Times New Roman" w:hAnsi="Times New Roman"/>
                <w:b/>
                <w:color w:val="auto"/>
                <w:highlight w:val="none"/>
              </w:rPr>
              <w:t>分类一</w:t>
            </w:r>
          </w:p>
        </w:tc>
        <w:tc>
          <w:tcPr>
            <w:tcW w:w="839" w:type="dxa"/>
            <w:vMerge w:val="restart"/>
            <w:noWrap w:val="0"/>
            <w:vAlign w:val="center"/>
          </w:tcPr>
          <w:p>
            <w:pPr>
              <w:jc w:val="center"/>
              <w:rPr>
                <w:rFonts w:ascii="Times New Roman" w:hAnsi="Times New Roman"/>
                <w:b/>
                <w:color w:val="auto"/>
                <w:highlight w:val="none"/>
              </w:rPr>
            </w:pPr>
            <w:r>
              <w:rPr>
                <w:rFonts w:hint="default" w:ascii="Times New Roman" w:hAnsi="Times New Roman"/>
                <w:b/>
                <w:color w:val="auto"/>
                <w:highlight w:val="none"/>
              </w:rPr>
              <w:t>建队等级</w:t>
            </w:r>
          </w:p>
        </w:tc>
        <w:tc>
          <w:tcPr>
            <w:tcW w:w="12916" w:type="dxa"/>
            <w:gridSpan w:val="11"/>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建队标准（50分）</w:t>
            </w:r>
          </w:p>
        </w:tc>
        <w:tc>
          <w:tcPr>
            <w:tcW w:w="649" w:type="dxa"/>
            <w:vMerge w:val="restart"/>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54" w:type="dxa"/>
            <w:vMerge w:val="continue"/>
            <w:noWrap w:val="0"/>
            <w:vAlign w:val="center"/>
          </w:tcPr>
          <w:p>
            <w:pPr>
              <w:jc w:val="center"/>
              <w:rPr>
                <w:rFonts w:ascii="Times New Roman" w:hAnsi="Times New Roman"/>
                <w:b/>
                <w:color w:val="auto"/>
                <w:highlight w:val="none"/>
              </w:rPr>
            </w:pPr>
          </w:p>
        </w:tc>
        <w:tc>
          <w:tcPr>
            <w:tcW w:w="839" w:type="dxa"/>
            <w:vMerge w:val="continue"/>
            <w:noWrap w:val="0"/>
            <w:vAlign w:val="center"/>
          </w:tcPr>
          <w:p>
            <w:pPr>
              <w:jc w:val="center"/>
              <w:rPr>
                <w:rFonts w:ascii="Times New Roman" w:hAnsi="Times New Roman"/>
                <w:b/>
                <w:color w:val="auto"/>
                <w:highlight w:val="none"/>
              </w:rPr>
            </w:pPr>
          </w:p>
        </w:tc>
        <w:tc>
          <w:tcPr>
            <w:tcW w:w="754" w:type="dxa"/>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人数（5分）</w:t>
            </w:r>
          </w:p>
        </w:tc>
        <w:tc>
          <w:tcPr>
            <w:tcW w:w="1620" w:type="dxa"/>
            <w:noWrap w:val="0"/>
            <w:vAlign w:val="center"/>
          </w:tcPr>
          <w:p>
            <w:pPr>
              <w:widowControl/>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工资福利</w:t>
            </w:r>
          </w:p>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（5分）</w:t>
            </w:r>
          </w:p>
        </w:tc>
        <w:tc>
          <w:tcPr>
            <w:tcW w:w="1440" w:type="dxa"/>
            <w:noWrap w:val="0"/>
            <w:vAlign w:val="center"/>
          </w:tcPr>
          <w:p>
            <w:pPr>
              <w:widowControl/>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劳动合同</w:t>
            </w:r>
          </w:p>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（5分）</w:t>
            </w:r>
          </w:p>
        </w:tc>
        <w:tc>
          <w:tcPr>
            <w:tcW w:w="1440" w:type="dxa"/>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社保、人身意外伤亡保险（5分）</w:t>
            </w:r>
          </w:p>
        </w:tc>
        <w:tc>
          <w:tcPr>
            <w:tcW w:w="900" w:type="dxa"/>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车辆（5分）</w:t>
            </w:r>
          </w:p>
        </w:tc>
        <w:tc>
          <w:tcPr>
            <w:tcW w:w="2160" w:type="dxa"/>
            <w:gridSpan w:val="2"/>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个人基本防护装备</w:t>
            </w:r>
          </w:p>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（5分）</w:t>
            </w:r>
          </w:p>
        </w:tc>
        <w:tc>
          <w:tcPr>
            <w:tcW w:w="1441" w:type="dxa"/>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随车器材装备（5分）</w:t>
            </w:r>
          </w:p>
        </w:tc>
        <w:tc>
          <w:tcPr>
            <w:tcW w:w="1080" w:type="dxa"/>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建设用地面积</w:t>
            </w:r>
          </w:p>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（5分）</w:t>
            </w:r>
          </w:p>
        </w:tc>
        <w:tc>
          <w:tcPr>
            <w:tcW w:w="716" w:type="dxa"/>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建筑</w:t>
            </w:r>
          </w:p>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面积</w:t>
            </w:r>
          </w:p>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（5分）</w:t>
            </w:r>
          </w:p>
        </w:tc>
        <w:tc>
          <w:tcPr>
            <w:tcW w:w="1365" w:type="dxa"/>
            <w:noWrap w:val="0"/>
            <w:vAlign w:val="center"/>
          </w:tcPr>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场库室</w:t>
            </w:r>
          </w:p>
          <w:p>
            <w:pPr>
              <w:widowControl/>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（5分）</w:t>
            </w:r>
          </w:p>
        </w:tc>
        <w:tc>
          <w:tcPr>
            <w:tcW w:w="649" w:type="dxa"/>
            <w:vMerge w:val="continue"/>
            <w:noWrap w:val="0"/>
            <w:vAlign w:val="center"/>
          </w:tcPr>
          <w:p>
            <w:pPr>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854" w:type="dxa"/>
            <w:noWrap w:val="0"/>
            <w:vAlign w:val="center"/>
          </w:tcPr>
          <w:p>
            <w:pPr>
              <w:jc w:val="center"/>
              <w:rPr>
                <w:rFonts w:ascii="Times New Roman" w:hAnsi="Times New Roman"/>
                <w:color w:val="auto"/>
                <w:highlight w:val="none"/>
              </w:rPr>
            </w:pPr>
            <w:r>
              <w:rPr>
                <w:rFonts w:hint="default" w:ascii="Times New Roman" w:hAnsi="Times New Roman"/>
                <w:color w:val="auto"/>
                <w:highlight w:val="none"/>
              </w:rPr>
              <w:t>乡镇/街道/片区/工业园区</w:t>
            </w:r>
          </w:p>
        </w:tc>
        <w:tc>
          <w:tcPr>
            <w:tcW w:w="839" w:type="dxa"/>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一级乡镇专职消防队</w:t>
            </w:r>
          </w:p>
        </w:tc>
        <w:tc>
          <w:tcPr>
            <w:tcW w:w="754" w:type="dxa"/>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总数≧15人，其中专职消防队员≧8人</w:t>
            </w:r>
          </w:p>
        </w:tc>
        <w:tc>
          <w:tcPr>
            <w:tcW w:w="1620" w:type="dxa"/>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政府专职消防队员工资待遇不低于本地事业单位职工工资待遇水平。检查专职消防队员近三个月工资发放记录，未全部达标的，该项不得分</w:t>
            </w:r>
          </w:p>
        </w:tc>
        <w:tc>
          <w:tcPr>
            <w:tcW w:w="1440" w:type="dxa"/>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要依法订立劳动合同。检查满1年以上专职消防员的劳动合同，采取劳务派遣等不依法依规用工的，该项不得分</w:t>
            </w:r>
          </w:p>
        </w:tc>
        <w:tc>
          <w:tcPr>
            <w:tcW w:w="1440" w:type="dxa"/>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落实专职消防队员“五险一金”及人身伤害保险待遇。检查专职消防队员社保卡、公积金和人身意外伤害保险凭证，未全部落实的，该项不得分</w:t>
            </w:r>
          </w:p>
        </w:tc>
        <w:tc>
          <w:tcPr>
            <w:tcW w:w="900" w:type="dxa"/>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水罐消防车≧1辆、其他灭火消防车或专勤消防车1辆</w:t>
            </w:r>
          </w:p>
        </w:tc>
        <w:tc>
          <w:tcPr>
            <w:tcW w:w="2160" w:type="dxa"/>
            <w:gridSpan w:val="2"/>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对照《乡镇消防队》（GB/T 35547-2017），逐一检查消防员个人基本防护装备，配备数量或备份比与人数不匹配的，此项不得分；随机抽查1件器材，不完整好用的，此项不得分</w:t>
            </w:r>
          </w:p>
        </w:tc>
        <w:tc>
          <w:tcPr>
            <w:tcW w:w="1441" w:type="dxa"/>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对照《乡镇消防队》（GB/T 35547-2017），逐一检查随车器材装备，配备数量不达标的，此项不得分；随机抽查1件器材，不完整好用的，此项不得分</w:t>
            </w:r>
          </w:p>
        </w:tc>
        <w:tc>
          <w:tcPr>
            <w:tcW w:w="1080" w:type="dxa"/>
            <w:noWrap w:val="0"/>
            <w:vAlign w:val="center"/>
          </w:tcPr>
          <w:p>
            <w:pPr>
              <w:widowControl/>
              <w:jc w:val="cente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1000m</w:t>
            </w:r>
            <w:r>
              <w:rPr>
                <w:rFonts w:hint="default" w:ascii="Times New Roman" w:hAnsi="Times New Roman" w:cs="Times New Roman"/>
                <w:color w:val="auto"/>
                <w:kern w:val="0"/>
                <w:sz w:val="20"/>
                <w:szCs w:val="20"/>
                <w:highlight w:val="none"/>
                <w:vertAlign w:val="superscript"/>
              </w:rPr>
              <w:t>2</w:t>
            </w:r>
            <w:r>
              <w:rPr>
                <w:rFonts w:hint="default" w:ascii="Times New Roman" w:hAnsi="Times New Roman" w:cs="Times New Roman"/>
                <w:color w:val="auto"/>
                <w:kern w:val="0"/>
                <w:sz w:val="20"/>
                <w:szCs w:val="20"/>
                <w:highlight w:val="none"/>
              </w:rPr>
              <w:t>—1200m</w:t>
            </w:r>
            <w:r>
              <w:rPr>
                <w:rFonts w:hint="default" w:ascii="Times New Roman" w:hAnsi="Times New Roman" w:cs="Times New Roman"/>
                <w:color w:val="auto"/>
                <w:kern w:val="0"/>
                <w:sz w:val="20"/>
                <w:szCs w:val="20"/>
                <w:highlight w:val="none"/>
                <w:vertAlign w:val="superscript"/>
              </w:rPr>
              <w:t>2</w:t>
            </w:r>
          </w:p>
        </w:tc>
        <w:tc>
          <w:tcPr>
            <w:tcW w:w="716" w:type="dxa"/>
            <w:noWrap w:val="0"/>
            <w:vAlign w:val="center"/>
          </w:tcPr>
          <w:p>
            <w:pPr>
              <w:widowControl/>
              <w:jc w:val="cente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600m</w:t>
            </w:r>
            <w:r>
              <w:rPr>
                <w:rFonts w:hint="default" w:ascii="Times New Roman" w:hAnsi="Times New Roman" w:cs="Times New Roman"/>
                <w:color w:val="auto"/>
                <w:kern w:val="0"/>
                <w:sz w:val="20"/>
                <w:szCs w:val="20"/>
                <w:highlight w:val="none"/>
                <w:vertAlign w:val="superscript"/>
              </w:rPr>
              <w:t>2</w:t>
            </w:r>
            <w:r>
              <w:rPr>
                <w:rFonts w:hint="default" w:ascii="Times New Roman" w:hAnsi="Times New Roman" w:cs="Times New Roman"/>
                <w:color w:val="auto"/>
                <w:kern w:val="0"/>
                <w:sz w:val="20"/>
                <w:szCs w:val="20"/>
                <w:highlight w:val="none"/>
              </w:rPr>
              <w:t>—700m</w:t>
            </w:r>
            <w:r>
              <w:rPr>
                <w:rFonts w:hint="default" w:ascii="Times New Roman" w:hAnsi="Times New Roman" w:cs="Times New Roman"/>
                <w:color w:val="auto"/>
                <w:kern w:val="0"/>
                <w:sz w:val="20"/>
                <w:szCs w:val="20"/>
                <w:highlight w:val="none"/>
                <w:vertAlign w:val="superscript"/>
              </w:rPr>
              <w:t>2</w:t>
            </w:r>
          </w:p>
        </w:tc>
        <w:tc>
          <w:tcPr>
            <w:tcW w:w="1365" w:type="dxa"/>
            <w:noWrap w:val="0"/>
            <w:vAlign w:val="center"/>
          </w:tcPr>
          <w:p>
            <w:pPr>
              <w:rPr>
                <w:rFonts w:ascii="Times New Roman" w:hAnsi="Times New Roman"/>
                <w:color w:val="auto"/>
                <w:highlight w:val="none"/>
              </w:rPr>
            </w:pPr>
            <w:r>
              <w:rPr>
                <w:rFonts w:hint="default" w:ascii="Times New Roman" w:hAnsi="Times New Roman" w:cs="Times New Roman"/>
                <w:color w:val="auto"/>
                <w:kern w:val="0"/>
                <w:sz w:val="20"/>
                <w:szCs w:val="20"/>
                <w:highlight w:val="none"/>
              </w:rPr>
              <w:t>对照《乡镇消防队》（GB/T 35547-2017），逐一检查场库室设置，有1处不符合要求的，此项不得分</w:t>
            </w:r>
          </w:p>
        </w:tc>
        <w:tc>
          <w:tcPr>
            <w:tcW w:w="649" w:type="dxa"/>
            <w:noWrap w:val="0"/>
            <w:vAlign w:val="center"/>
          </w:tcPr>
          <w:p>
            <w:pPr>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4" w:type="dxa"/>
            <w:vMerge w:val="restart"/>
            <w:noWrap w:val="0"/>
            <w:vAlign w:val="center"/>
          </w:tcPr>
          <w:p>
            <w:pPr>
              <w:jc w:val="center"/>
              <w:rPr>
                <w:rFonts w:hint="default" w:ascii="Times New Roman" w:hAnsi="Times New Roman"/>
                <w:b/>
                <w:color w:val="auto"/>
                <w:highlight w:val="none"/>
              </w:rPr>
            </w:pPr>
            <w:r>
              <w:rPr>
                <w:rFonts w:hint="default" w:ascii="Times New Roman" w:hAnsi="Times New Roman"/>
                <w:b/>
                <w:color w:val="auto"/>
                <w:highlight w:val="none"/>
              </w:rPr>
              <w:t>分类二</w:t>
            </w:r>
          </w:p>
        </w:tc>
        <w:tc>
          <w:tcPr>
            <w:tcW w:w="839" w:type="dxa"/>
            <w:vMerge w:val="restart"/>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b/>
                <w:color w:val="auto"/>
                <w:highlight w:val="none"/>
              </w:rPr>
              <w:t>建队等级</w:t>
            </w:r>
          </w:p>
        </w:tc>
        <w:tc>
          <w:tcPr>
            <w:tcW w:w="12916" w:type="dxa"/>
            <w:gridSpan w:val="11"/>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建队标准（30分）</w:t>
            </w:r>
          </w:p>
        </w:tc>
        <w:tc>
          <w:tcPr>
            <w:tcW w:w="649" w:type="dxa"/>
            <w:vMerge w:val="restart"/>
            <w:noWrap w:val="0"/>
            <w:vAlign w:val="center"/>
          </w:tcPr>
          <w:p>
            <w:pPr>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4" w:type="dxa"/>
            <w:vMerge w:val="continue"/>
            <w:noWrap w:val="0"/>
            <w:vAlign w:val="center"/>
          </w:tcPr>
          <w:p>
            <w:pPr>
              <w:jc w:val="center"/>
              <w:rPr>
                <w:rFonts w:hint="default" w:ascii="Times New Roman" w:hAnsi="Times New Roman"/>
                <w:color w:val="auto"/>
                <w:highlight w:val="none"/>
              </w:rPr>
            </w:pPr>
          </w:p>
        </w:tc>
        <w:tc>
          <w:tcPr>
            <w:tcW w:w="839" w:type="dxa"/>
            <w:vMerge w:val="continue"/>
            <w:noWrap w:val="0"/>
            <w:vAlign w:val="center"/>
          </w:tcPr>
          <w:p>
            <w:pPr>
              <w:rPr>
                <w:rFonts w:hint="default" w:ascii="Times New Roman" w:hAnsi="Times New Roman"/>
                <w:color w:val="auto"/>
                <w:highlight w:val="none"/>
              </w:rPr>
            </w:pPr>
          </w:p>
        </w:tc>
        <w:tc>
          <w:tcPr>
            <w:tcW w:w="2374" w:type="dxa"/>
            <w:gridSpan w:val="2"/>
            <w:noWrap w:val="0"/>
            <w:vAlign w:val="center"/>
          </w:tcPr>
          <w:p>
            <w:pPr>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b/>
                <w:color w:val="auto"/>
                <w:kern w:val="0"/>
                <w:sz w:val="20"/>
                <w:szCs w:val="20"/>
                <w:highlight w:val="none"/>
              </w:rPr>
              <w:t>人数（5分）</w:t>
            </w:r>
          </w:p>
        </w:tc>
        <w:tc>
          <w:tcPr>
            <w:tcW w:w="1440"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值守制度</w:t>
            </w:r>
          </w:p>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（4分）</w:t>
            </w:r>
          </w:p>
        </w:tc>
        <w:tc>
          <w:tcPr>
            <w:tcW w:w="1440"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业务训练</w:t>
            </w:r>
          </w:p>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（4分）</w:t>
            </w:r>
          </w:p>
        </w:tc>
        <w:tc>
          <w:tcPr>
            <w:tcW w:w="1467" w:type="dxa"/>
            <w:gridSpan w:val="2"/>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联勤联动</w:t>
            </w:r>
          </w:p>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（3分）</w:t>
            </w:r>
          </w:p>
        </w:tc>
        <w:tc>
          <w:tcPr>
            <w:tcW w:w="1593"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车辆</w:t>
            </w:r>
          </w:p>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（4分）</w:t>
            </w:r>
          </w:p>
        </w:tc>
        <w:tc>
          <w:tcPr>
            <w:tcW w:w="1441"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个人防护装备</w:t>
            </w:r>
          </w:p>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（4分）</w:t>
            </w:r>
          </w:p>
        </w:tc>
        <w:tc>
          <w:tcPr>
            <w:tcW w:w="1796" w:type="dxa"/>
            <w:gridSpan w:val="2"/>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消防宣传教育</w:t>
            </w:r>
          </w:p>
          <w:p>
            <w:pPr>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b/>
                <w:color w:val="auto"/>
                <w:kern w:val="0"/>
                <w:sz w:val="20"/>
                <w:szCs w:val="20"/>
                <w:highlight w:val="none"/>
              </w:rPr>
              <w:t>（3分）</w:t>
            </w:r>
          </w:p>
        </w:tc>
        <w:tc>
          <w:tcPr>
            <w:tcW w:w="1365"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防火巡查</w:t>
            </w:r>
          </w:p>
          <w:p>
            <w:pPr>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b/>
                <w:color w:val="auto"/>
                <w:kern w:val="0"/>
                <w:sz w:val="20"/>
                <w:szCs w:val="20"/>
                <w:highlight w:val="none"/>
              </w:rPr>
              <w:t>（3分）</w:t>
            </w:r>
          </w:p>
        </w:tc>
        <w:tc>
          <w:tcPr>
            <w:tcW w:w="649" w:type="dxa"/>
            <w:vMerge w:val="continue"/>
            <w:noWrap w:val="0"/>
            <w:vAlign w:val="center"/>
          </w:tcPr>
          <w:p>
            <w:pPr>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854" w:type="dxa"/>
            <w:noWrap w:val="0"/>
            <w:vAlign w:val="center"/>
          </w:tcPr>
          <w:p>
            <w:pPr>
              <w:jc w:val="center"/>
              <w:rPr>
                <w:rFonts w:hint="default" w:ascii="Times New Roman" w:hAnsi="Times New Roman"/>
                <w:color w:val="auto"/>
                <w:highlight w:val="none"/>
              </w:rPr>
            </w:pPr>
            <w:r>
              <w:rPr>
                <w:rFonts w:hint="default" w:ascii="Times New Roman" w:hAnsi="Times New Roman"/>
                <w:color w:val="auto"/>
                <w:highlight w:val="none"/>
              </w:rPr>
              <w:t>社区</w:t>
            </w:r>
            <w:r>
              <w:rPr>
                <w:rFonts w:hint="default" w:ascii="Times New Roman" w:hAnsi="Times New Roman" w:cs="Times New Roman"/>
                <w:color w:val="auto"/>
                <w:kern w:val="0"/>
                <w:sz w:val="20"/>
                <w:szCs w:val="20"/>
                <w:highlight w:val="none"/>
              </w:rPr>
              <w:t>（村）</w:t>
            </w:r>
          </w:p>
        </w:tc>
        <w:tc>
          <w:tcPr>
            <w:tcW w:w="839" w:type="dxa"/>
            <w:noWrap w:val="0"/>
            <w:vAlign w:val="center"/>
          </w:tcPr>
          <w:p>
            <w:pPr>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社区（村）微型消防站</w:t>
            </w:r>
          </w:p>
        </w:tc>
        <w:tc>
          <w:tcPr>
            <w:tcW w:w="2374" w:type="dxa"/>
            <w:gridSpan w:val="2"/>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总数≧6人。检查花名册，队员人数不符合要求或站长非居（村）民委员会主要领导担任的，该项不得分</w:t>
            </w:r>
          </w:p>
        </w:tc>
        <w:tc>
          <w:tcPr>
            <w:tcW w:w="1440" w:type="dxa"/>
            <w:noWrap w:val="0"/>
            <w:vAlign w:val="center"/>
          </w:tcPr>
          <w:p>
            <w:pPr>
              <w:rPr>
                <w:rFonts w:hint="default" w:ascii="Times New Roman" w:hAnsi="Times New Roman" w:cs="Times New Roman"/>
                <w:color w:val="auto"/>
                <w:kern w:val="0"/>
                <w:sz w:val="20"/>
                <w:szCs w:val="20"/>
                <w:highlight w:val="none"/>
              </w:rPr>
            </w:pPr>
            <w:r>
              <w:rPr>
                <w:rFonts w:ascii="Times New Roman" w:hAnsi="Times New Roman" w:cs="Times New Roman"/>
                <w:color w:val="auto"/>
                <w:kern w:val="0"/>
                <w:sz w:val="20"/>
                <w:szCs w:val="20"/>
                <w:highlight w:val="none"/>
              </w:rPr>
              <w:t>设立值班室，实行</w:t>
            </w:r>
            <w:r>
              <w:rPr>
                <w:rFonts w:hint="default" w:ascii="Times New Roman" w:hAnsi="Times New Roman" w:cs="Times New Roman"/>
                <w:color w:val="auto"/>
                <w:kern w:val="0"/>
                <w:sz w:val="20"/>
                <w:szCs w:val="20"/>
                <w:highlight w:val="none"/>
              </w:rPr>
              <w:t>24</w:t>
            </w:r>
            <w:r>
              <w:rPr>
                <w:rFonts w:ascii="Times New Roman" w:hAnsi="Times New Roman" w:cs="Times New Roman"/>
                <w:color w:val="auto"/>
                <w:kern w:val="0"/>
                <w:sz w:val="20"/>
                <w:szCs w:val="20"/>
                <w:highlight w:val="none"/>
              </w:rPr>
              <w:t>小时值班（备勤）制</w:t>
            </w:r>
            <w:r>
              <w:rPr>
                <w:rFonts w:hint="default" w:ascii="Times New Roman" w:hAnsi="Times New Roman" w:cs="Times New Roman"/>
                <w:color w:val="auto"/>
                <w:kern w:val="0"/>
                <w:sz w:val="20"/>
                <w:szCs w:val="20"/>
                <w:highlight w:val="none"/>
              </w:rPr>
              <w:t>，分班编组值守，每班不少于3人，并设班（组）长一名。检查值班记录和编组情况，不达标的，该项不得分</w:t>
            </w:r>
          </w:p>
        </w:tc>
        <w:tc>
          <w:tcPr>
            <w:tcW w:w="1440" w:type="dxa"/>
            <w:noWrap w:val="0"/>
            <w:vAlign w:val="center"/>
          </w:tcPr>
          <w:p>
            <w:pPr>
              <w:rPr>
                <w:rFonts w:hint="default" w:ascii="Times New Roman" w:hAnsi="Times New Roman" w:cs="Times New Roman"/>
                <w:color w:val="auto"/>
                <w:kern w:val="0"/>
                <w:sz w:val="20"/>
                <w:szCs w:val="20"/>
                <w:highlight w:val="none"/>
              </w:rPr>
            </w:pPr>
            <w:r>
              <w:rPr>
                <w:rFonts w:ascii="Times New Roman" w:hAnsi="Times New Roman" w:cs="Times New Roman"/>
                <w:color w:val="auto"/>
                <w:kern w:val="0"/>
                <w:sz w:val="20"/>
                <w:szCs w:val="20"/>
                <w:highlight w:val="none"/>
              </w:rPr>
              <w:t>每周开展业务训练不少于</w:t>
            </w:r>
            <w:r>
              <w:rPr>
                <w:rFonts w:hint="default" w:ascii="Times New Roman" w:hAnsi="Times New Roman" w:cs="Times New Roman"/>
                <w:color w:val="auto"/>
                <w:kern w:val="0"/>
                <w:sz w:val="20"/>
                <w:szCs w:val="20"/>
                <w:highlight w:val="none"/>
              </w:rPr>
              <w:t>1</w:t>
            </w:r>
            <w:r>
              <w:rPr>
                <w:rFonts w:ascii="Times New Roman" w:hAnsi="Times New Roman" w:cs="Times New Roman"/>
                <w:color w:val="auto"/>
                <w:kern w:val="0"/>
                <w:sz w:val="20"/>
                <w:szCs w:val="20"/>
                <w:highlight w:val="none"/>
              </w:rPr>
              <w:t>次</w:t>
            </w:r>
            <w:r>
              <w:rPr>
                <w:rFonts w:hint="default" w:ascii="Times New Roman" w:hAnsi="Times New Roman" w:cs="Times New Roman"/>
                <w:color w:val="auto"/>
                <w:kern w:val="0"/>
                <w:sz w:val="20"/>
                <w:szCs w:val="20"/>
                <w:highlight w:val="none"/>
              </w:rPr>
              <w:t>；</w:t>
            </w:r>
            <w:r>
              <w:rPr>
                <w:rFonts w:ascii="Times New Roman" w:hAnsi="Times New Roman" w:cs="Times New Roman"/>
                <w:color w:val="auto"/>
                <w:kern w:val="0"/>
                <w:sz w:val="20"/>
                <w:szCs w:val="20"/>
                <w:highlight w:val="none"/>
              </w:rPr>
              <w:t>每月开展不少于</w:t>
            </w:r>
            <w:r>
              <w:rPr>
                <w:rFonts w:hint="default" w:ascii="Times New Roman" w:hAnsi="Times New Roman" w:cs="Times New Roman"/>
                <w:color w:val="auto"/>
                <w:kern w:val="0"/>
                <w:sz w:val="20"/>
                <w:szCs w:val="20"/>
                <w:highlight w:val="none"/>
              </w:rPr>
              <w:t>1</w:t>
            </w:r>
            <w:r>
              <w:rPr>
                <w:rFonts w:ascii="Times New Roman" w:hAnsi="Times New Roman" w:cs="Times New Roman"/>
                <w:color w:val="auto"/>
                <w:kern w:val="0"/>
                <w:sz w:val="20"/>
                <w:szCs w:val="20"/>
                <w:highlight w:val="none"/>
              </w:rPr>
              <w:t>次对所辖区域内道路、水源、所辖单位熟悉工作</w:t>
            </w:r>
            <w:r>
              <w:rPr>
                <w:rFonts w:hint="default" w:ascii="Times New Roman" w:hAnsi="Times New Roman" w:cs="Times New Roman"/>
                <w:color w:val="auto"/>
                <w:kern w:val="0"/>
                <w:sz w:val="20"/>
                <w:szCs w:val="20"/>
                <w:highlight w:val="none"/>
              </w:rPr>
              <w:t>。检查业务训练记录，不达标的，该项不得分</w:t>
            </w:r>
          </w:p>
        </w:tc>
        <w:tc>
          <w:tcPr>
            <w:tcW w:w="1467" w:type="dxa"/>
            <w:gridSpan w:val="2"/>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检查微型站出警记录和当地消防救援站调度记录，未实行微型站统一调度，并纳入当地灭火救援联勤联动体系的，该项不得分</w:t>
            </w:r>
          </w:p>
        </w:tc>
        <w:tc>
          <w:tcPr>
            <w:tcW w:w="1593" w:type="dxa"/>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消防摩托车（电瓶车）≥1</w:t>
            </w:r>
          </w:p>
        </w:tc>
        <w:tc>
          <w:tcPr>
            <w:tcW w:w="1441" w:type="dxa"/>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对照《</w:t>
            </w:r>
            <w:r>
              <w:rPr>
                <w:rFonts w:hint="default" w:ascii="Times New Roman" w:hAnsi="Times New Roman" w:cs="Times New Roman"/>
                <w:bCs/>
                <w:color w:val="auto"/>
                <w:kern w:val="0"/>
                <w:sz w:val="20"/>
                <w:szCs w:val="20"/>
                <w:highlight w:val="none"/>
              </w:rPr>
              <w:t>广东省社区（村）微型消防站</w:t>
            </w:r>
            <w:r>
              <w:rPr>
                <w:rFonts w:hint="default" w:ascii="Times New Roman" w:hAnsi="Times New Roman" w:cs="Times New Roman"/>
                <w:color w:val="auto"/>
                <w:kern w:val="0"/>
                <w:sz w:val="20"/>
                <w:szCs w:val="20"/>
                <w:highlight w:val="none"/>
              </w:rPr>
              <w:t>建设标准</w:t>
            </w:r>
            <w:r>
              <w:rPr>
                <w:rFonts w:ascii="Times New Roman" w:hAnsi="Times New Roman" w:cs="Times New Roman"/>
                <w:color w:val="auto"/>
                <w:kern w:val="0"/>
                <w:sz w:val="20"/>
                <w:szCs w:val="20"/>
                <w:highlight w:val="none"/>
              </w:rPr>
              <w:t>（试行）</w:t>
            </w:r>
            <w:r>
              <w:rPr>
                <w:rFonts w:hint="default" w:ascii="Times New Roman" w:hAnsi="Times New Roman" w:cs="Times New Roman"/>
                <w:color w:val="auto"/>
                <w:kern w:val="0"/>
                <w:sz w:val="20"/>
                <w:szCs w:val="20"/>
                <w:highlight w:val="none"/>
              </w:rPr>
              <w:t>》，逐一检查队员个人基本防护装备，配备数量与人数不匹配的，该项不得分；随机抽查1名队员现场操作消防器材，器材不完整好用或队员不熟悉器材操作的，该项不得分</w:t>
            </w:r>
          </w:p>
        </w:tc>
        <w:tc>
          <w:tcPr>
            <w:tcW w:w="1796" w:type="dxa"/>
            <w:gridSpan w:val="2"/>
            <w:noWrap w:val="0"/>
            <w:vAlign w:val="center"/>
          </w:tcPr>
          <w:p>
            <w:pPr>
              <w:widowControl/>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检查</w:t>
            </w:r>
            <w:r>
              <w:rPr>
                <w:rFonts w:ascii="Times New Roman" w:hAnsi="Times New Roman" w:cs="Times New Roman"/>
                <w:color w:val="auto"/>
                <w:kern w:val="0"/>
                <w:sz w:val="20"/>
                <w:szCs w:val="20"/>
                <w:highlight w:val="none"/>
              </w:rPr>
              <w:t>联合辖区域内的单位开展知识培训、疏散演练、实战演练等多种形式普及防火、灭火和自救逃生等消防安全常识</w:t>
            </w:r>
            <w:r>
              <w:rPr>
                <w:rFonts w:hint="default" w:ascii="Times New Roman" w:hAnsi="Times New Roman" w:cs="Times New Roman"/>
                <w:color w:val="auto"/>
                <w:kern w:val="0"/>
                <w:sz w:val="20"/>
                <w:szCs w:val="20"/>
                <w:highlight w:val="none"/>
              </w:rPr>
              <w:t>的工作</w:t>
            </w:r>
            <w:r>
              <w:rPr>
                <w:rFonts w:ascii="Times New Roman" w:hAnsi="Times New Roman" w:cs="Times New Roman"/>
                <w:color w:val="auto"/>
                <w:kern w:val="0"/>
                <w:sz w:val="20"/>
                <w:szCs w:val="20"/>
                <w:highlight w:val="none"/>
              </w:rPr>
              <w:t>档案</w:t>
            </w:r>
            <w:r>
              <w:rPr>
                <w:rFonts w:hint="default" w:ascii="Times New Roman" w:hAnsi="Times New Roman" w:cs="Times New Roman"/>
                <w:color w:val="auto"/>
                <w:kern w:val="0"/>
                <w:sz w:val="20"/>
                <w:szCs w:val="20"/>
                <w:highlight w:val="none"/>
              </w:rPr>
              <w:t>。未开展消防宣传教育的，该项不得分</w:t>
            </w:r>
          </w:p>
        </w:tc>
        <w:tc>
          <w:tcPr>
            <w:tcW w:w="1365" w:type="dxa"/>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检查防火巡查记录，核查微型站是否配合网格员对居民住宅楼院、居民小区、基层企事业单位实施防火巡查。无效果管巡查记录的，该项不得分。设置专职网格员实施防火巡查的社区的微型消防站队员可不从事防火巡查</w:t>
            </w:r>
          </w:p>
        </w:tc>
        <w:tc>
          <w:tcPr>
            <w:tcW w:w="649" w:type="dxa"/>
            <w:noWrap w:val="0"/>
            <w:vAlign w:val="center"/>
          </w:tcPr>
          <w:p>
            <w:pPr>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54" w:type="dxa"/>
            <w:vMerge w:val="restart"/>
            <w:noWrap w:val="0"/>
            <w:vAlign w:val="center"/>
          </w:tcPr>
          <w:p>
            <w:pPr>
              <w:jc w:val="center"/>
              <w:rPr>
                <w:rFonts w:hint="default" w:ascii="Times New Roman" w:hAnsi="Times New Roman"/>
                <w:color w:val="auto"/>
                <w:highlight w:val="none"/>
              </w:rPr>
            </w:pPr>
            <w:r>
              <w:rPr>
                <w:rFonts w:hint="default" w:ascii="Times New Roman" w:hAnsi="Times New Roman"/>
                <w:b/>
                <w:color w:val="auto"/>
                <w:highlight w:val="none"/>
              </w:rPr>
              <w:t>分类三</w:t>
            </w:r>
          </w:p>
        </w:tc>
        <w:tc>
          <w:tcPr>
            <w:tcW w:w="839" w:type="dxa"/>
            <w:vMerge w:val="restart"/>
            <w:noWrap w:val="0"/>
            <w:vAlign w:val="center"/>
          </w:tcPr>
          <w:p>
            <w:pPr>
              <w:jc w:val="center"/>
              <w:rPr>
                <w:rFonts w:hint="default" w:ascii="Times New Roman" w:hAnsi="Times New Roman" w:cs="Times New Roman"/>
                <w:color w:val="auto"/>
                <w:kern w:val="0"/>
                <w:sz w:val="20"/>
                <w:szCs w:val="20"/>
                <w:highlight w:val="none"/>
              </w:rPr>
            </w:pPr>
            <w:r>
              <w:rPr>
                <w:rFonts w:hint="default" w:ascii="Times New Roman" w:hAnsi="Times New Roman"/>
                <w:b/>
                <w:color w:val="auto"/>
                <w:highlight w:val="none"/>
              </w:rPr>
              <w:t>建队等级</w:t>
            </w:r>
          </w:p>
        </w:tc>
        <w:tc>
          <w:tcPr>
            <w:tcW w:w="12916" w:type="dxa"/>
            <w:gridSpan w:val="11"/>
            <w:noWrap w:val="0"/>
            <w:vAlign w:val="center"/>
          </w:tcPr>
          <w:p>
            <w:pPr>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b/>
                <w:color w:val="auto"/>
                <w:kern w:val="0"/>
                <w:sz w:val="20"/>
                <w:szCs w:val="20"/>
                <w:highlight w:val="none"/>
              </w:rPr>
              <w:t>建队标准（20分）</w:t>
            </w:r>
          </w:p>
        </w:tc>
        <w:tc>
          <w:tcPr>
            <w:tcW w:w="649" w:type="dxa"/>
            <w:vMerge w:val="restart"/>
            <w:noWrap w:val="0"/>
            <w:vAlign w:val="center"/>
          </w:tcPr>
          <w:p>
            <w:pPr>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54" w:type="dxa"/>
            <w:vMerge w:val="continue"/>
            <w:noWrap w:val="0"/>
            <w:vAlign w:val="center"/>
          </w:tcPr>
          <w:p>
            <w:pPr>
              <w:jc w:val="center"/>
              <w:rPr>
                <w:rFonts w:hint="default" w:ascii="Times New Roman" w:hAnsi="Times New Roman"/>
                <w:b/>
                <w:color w:val="auto"/>
                <w:highlight w:val="none"/>
              </w:rPr>
            </w:pPr>
          </w:p>
        </w:tc>
        <w:tc>
          <w:tcPr>
            <w:tcW w:w="839" w:type="dxa"/>
            <w:vMerge w:val="continue"/>
            <w:noWrap w:val="0"/>
            <w:vAlign w:val="center"/>
          </w:tcPr>
          <w:p>
            <w:pPr>
              <w:jc w:val="center"/>
              <w:rPr>
                <w:rFonts w:hint="default" w:ascii="Times New Roman" w:hAnsi="Times New Roman"/>
                <w:b/>
                <w:color w:val="auto"/>
                <w:highlight w:val="none"/>
              </w:rPr>
            </w:pPr>
          </w:p>
        </w:tc>
        <w:tc>
          <w:tcPr>
            <w:tcW w:w="2374" w:type="dxa"/>
            <w:gridSpan w:val="2"/>
            <w:noWrap w:val="0"/>
            <w:vAlign w:val="center"/>
          </w:tcPr>
          <w:p>
            <w:pPr>
              <w:jc w:val="center"/>
              <w:rPr>
                <w:rFonts w:hint="default" w:ascii="Times New Roman" w:hAnsi="Times New Roman"/>
                <w:b/>
                <w:color w:val="auto"/>
                <w:highlight w:val="none"/>
              </w:rPr>
            </w:pPr>
            <w:r>
              <w:rPr>
                <w:rFonts w:hint="default" w:ascii="Times New Roman" w:hAnsi="Times New Roman" w:cs="Times New Roman"/>
                <w:b/>
                <w:color w:val="auto"/>
                <w:kern w:val="0"/>
                <w:sz w:val="20"/>
                <w:szCs w:val="20"/>
                <w:highlight w:val="none"/>
              </w:rPr>
              <w:t>分类设置（4分）</w:t>
            </w:r>
          </w:p>
        </w:tc>
        <w:tc>
          <w:tcPr>
            <w:tcW w:w="1440"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人数（3分）</w:t>
            </w:r>
          </w:p>
        </w:tc>
        <w:tc>
          <w:tcPr>
            <w:tcW w:w="1440"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装备配备</w:t>
            </w:r>
          </w:p>
          <w:p>
            <w:pPr>
              <w:jc w:val="center"/>
              <w:rPr>
                <w:rFonts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（3分）</w:t>
            </w:r>
          </w:p>
        </w:tc>
        <w:tc>
          <w:tcPr>
            <w:tcW w:w="1467" w:type="dxa"/>
            <w:gridSpan w:val="2"/>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值守制度</w:t>
            </w:r>
          </w:p>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（2分）</w:t>
            </w:r>
          </w:p>
        </w:tc>
        <w:tc>
          <w:tcPr>
            <w:tcW w:w="1593"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日常管理</w:t>
            </w:r>
          </w:p>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（2分）</w:t>
            </w:r>
          </w:p>
        </w:tc>
        <w:tc>
          <w:tcPr>
            <w:tcW w:w="1441"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联勤联训</w:t>
            </w:r>
          </w:p>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（2分）</w:t>
            </w:r>
          </w:p>
        </w:tc>
        <w:tc>
          <w:tcPr>
            <w:tcW w:w="1796" w:type="dxa"/>
            <w:gridSpan w:val="2"/>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消防安全检查</w:t>
            </w:r>
          </w:p>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（2分）</w:t>
            </w:r>
          </w:p>
        </w:tc>
        <w:tc>
          <w:tcPr>
            <w:tcW w:w="1365" w:type="dxa"/>
            <w:noWrap w:val="0"/>
            <w:vAlign w:val="center"/>
          </w:tcPr>
          <w:p>
            <w:pPr>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消防宣传教育培训（2分）</w:t>
            </w:r>
          </w:p>
        </w:tc>
        <w:tc>
          <w:tcPr>
            <w:tcW w:w="649" w:type="dxa"/>
            <w:vMerge w:val="continue"/>
            <w:noWrap w:val="0"/>
            <w:vAlign w:val="center"/>
          </w:tcPr>
          <w:p>
            <w:pPr>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854" w:type="dxa"/>
            <w:noWrap w:val="0"/>
            <w:vAlign w:val="center"/>
          </w:tcPr>
          <w:p>
            <w:pPr>
              <w:jc w:val="center"/>
              <w:rPr>
                <w:rFonts w:hint="default" w:ascii="Times New Roman" w:hAnsi="Times New Roman"/>
                <w:color w:val="auto"/>
                <w:highlight w:val="none"/>
              </w:rPr>
            </w:pPr>
            <w:r>
              <w:rPr>
                <w:rFonts w:hint="default" w:ascii="Times New Roman" w:hAnsi="Times New Roman"/>
                <w:color w:val="auto"/>
                <w:highlight w:val="none"/>
              </w:rPr>
              <w:t>消防安全重点</w:t>
            </w:r>
          </w:p>
          <w:p>
            <w:pPr>
              <w:jc w:val="center"/>
              <w:rPr>
                <w:rFonts w:hint="default" w:ascii="Times New Roman" w:hAnsi="Times New Roman"/>
                <w:color w:val="auto"/>
                <w:highlight w:val="none"/>
              </w:rPr>
            </w:pPr>
            <w:r>
              <w:rPr>
                <w:rFonts w:hint="default" w:ascii="Times New Roman" w:hAnsi="Times New Roman"/>
                <w:color w:val="auto"/>
                <w:highlight w:val="none"/>
              </w:rPr>
              <w:t>单位</w:t>
            </w:r>
          </w:p>
        </w:tc>
        <w:tc>
          <w:tcPr>
            <w:tcW w:w="839" w:type="dxa"/>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重点单位微型消防站</w:t>
            </w:r>
          </w:p>
        </w:tc>
        <w:tc>
          <w:tcPr>
            <w:tcW w:w="2374" w:type="dxa"/>
            <w:gridSpan w:val="2"/>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按照《</w:t>
            </w:r>
            <w:r>
              <w:rPr>
                <w:rFonts w:ascii="Times New Roman" w:hAnsi="Times New Roman" w:cs="Times New Roman"/>
                <w:color w:val="auto"/>
                <w:kern w:val="0"/>
                <w:sz w:val="20"/>
                <w:szCs w:val="20"/>
                <w:highlight w:val="none"/>
              </w:rPr>
              <w:t>广东省消防安全重点单位微型消防站建设标准（试行）</w:t>
            </w:r>
            <w:r>
              <w:rPr>
                <w:rFonts w:hint="default" w:ascii="Times New Roman" w:hAnsi="Times New Roman" w:cs="Times New Roman"/>
                <w:color w:val="auto"/>
                <w:kern w:val="0"/>
                <w:sz w:val="20"/>
                <w:szCs w:val="20"/>
                <w:highlight w:val="none"/>
              </w:rPr>
              <w:t>》实施分类</w:t>
            </w:r>
          </w:p>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设置，即一类微型消防站、二类微型消防站、三类微型消防站。未按标准分类设置的，该项不得分</w:t>
            </w:r>
          </w:p>
        </w:tc>
        <w:tc>
          <w:tcPr>
            <w:tcW w:w="1440" w:type="dxa"/>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人员配备符合微型消防站人员配备标准和要求。不符合要求的，该项不得分</w:t>
            </w:r>
          </w:p>
        </w:tc>
        <w:tc>
          <w:tcPr>
            <w:tcW w:w="1440" w:type="dxa"/>
            <w:noWrap w:val="0"/>
            <w:vAlign w:val="center"/>
          </w:tcPr>
          <w:p>
            <w:pPr>
              <w:rPr>
                <w:rFonts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逐一检查消防摩托车和个人防护装备，不符合配备标准的，该项不得分</w:t>
            </w:r>
          </w:p>
        </w:tc>
        <w:tc>
          <w:tcPr>
            <w:tcW w:w="1467" w:type="dxa"/>
            <w:gridSpan w:val="2"/>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检查值班记录和编组情况，未建立值守制度，分班编组值守的，该项不得分</w:t>
            </w:r>
          </w:p>
        </w:tc>
        <w:tc>
          <w:tcPr>
            <w:tcW w:w="1593" w:type="dxa"/>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检查训练和培训记录，队员未定期开展体能和消防技能训练或微型站未对重点单位消防员进行在岗消防业务培训，该项不得分</w:t>
            </w:r>
          </w:p>
        </w:tc>
        <w:tc>
          <w:tcPr>
            <w:tcW w:w="1441" w:type="dxa"/>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检查训练记录，辖区消防救援站未定期对重点单位微型消防站队员开展灭火救援业务培训，落实联勤联训制度的，该项不得分</w:t>
            </w:r>
          </w:p>
        </w:tc>
        <w:tc>
          <w:tcPr>
            <w:tcW w:w="1796" w:type="dxa"/>
            <w:gridSpan w:val="2"/>
            <w:noWrap w:val="0"/>
            <w:vAlign w:val="center"/>
          </w:tcPr>
          <w:p>
            <w:pPr>
              <w:widowControl/>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检查《每日防火巡查记录表》等相关记录，未每月对本单位至少开展1次全面消防安全检查，或未每日开展防火巡查的，该项不得分</w:t>
            </w:r>
          </w:p>
        </w:tc>
        <w:tc>
          <w:tcPr>
            <w:tcW w:w="1365" w:type="dxa"/>
            <w:noWrap w:val="0"/>
            <w:vAlign w:val="center"/>
          </w:tcPr>
          <w:p>
            <w:pP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抽查1名员工，未经</w:t>
            </w:r>
            <w:r>
              <w:rPr>
                <w:rFonts w:ascii="Times New Roman" w:hAnsi="Times New Roman" w:cs="Times New Roman"/>
                <w:color w:val="auto"/>
                <w:kern w:val="0"/>
                <w:sz w:val="20"/>
                <w:szCs w:val="20"/>
                <w:highlight w:val="none"/>
              </w:rPr>
              <w:t>消防安全培训</w:t>
            </w:r>
            <w:r>
              <w:rPr>
                <w:rFonts w:hint="default" w:ascii="Times New Roman" w:hAnsi="Times New Roman" w:cs="Times New Roman"/>
                <w:color w:val="auto"/>
                <w:kern w:val="0"/>
                <w:sz w:val="20"/>
                <w:szCs w:val="20"/>
                <w:highlight w:val="none"/>
              </w:rPr>
              <w:t>上岗，或不具备</w:t>
            </w:r>
            <w:r>
              <w:rPr>
                <w:rFonts w:ascii="Times New Roman" w:hAnsi="Times New Roman" w:cs="Times New Roman"/>
                <w:color w:val="auto"/>
                <w:kern w:val="0"/>
                <w:sz w:val="20"/>
                <w:szCs w:val="20"/>
                <w:highlight w:val="none"/>
              </w:rPr>
              <w:t>消除火灾隐患能力、扑救初起火灾能力、组织人员疏散逃生能力</w:t>
            </w:r>
            <w:r>
              <w:rPr>
                <w:rFonts w:hint="default" w:ascii="Times New Roman" w:hAnsi="Times New Roman" w:cs="Times New Roman"/>
                <w:color w:val="auto"/>
                <w:kern w:val="0"/>
                <w:sz w:val="20"/>
                <w:szCs w:val="20"/>
                <w:highlight w:val="none"/>
              </w:rPr>
              <w:t>、</w:t>
            </w:r>
            <w:r>
              <w:rPr>
                <w:rFonts w:ascii="Times New Roman" w:hAnsi="Times New Roman" w:cs="Times New Roman"/>
                <w:color w:val="auto"/>
                <w:kern w:val="0"/>
                <w:sz w:val="20"/>
                <w:szCs w:val="20"/>
                <w:highlight w:val="none"/>
              </w:rPr>
              <w:t>消防宣传教育能力</w:t>
            </w:r>
            <w:r>
              <w:rPr>
                <w:rFonts w:hint="default" w:ascii="Times New Roman" w:hAnsi="Times New Roman" w:cs="Times New Roman"/>
                <w:color w:val="auto"/>
                <w:kern w:val="0"/>
                <w:sz w:val="20"/>
                <w:szCs w:val="20"/>
                <w:highlight w:val="none"/>
              </w:rPr>
              <w:t>“四个能力”的，该项不得分</w:t>
            </w:r>
          </w:p>
        </w:tc>
        <w:tc>
          <w:tcPr>
            <w:tcW w:w="649" w:type="dxa"/>
            <w:noWrap w:val="0"/>
            <w:vAlign w:val="center"/>
          </w:tcPr>
          <w:p>
            <w:pPr>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54" w:type="dxa"/>
            <w:noWrap w:val="0"/>
            <w:vAlign w:val="center"/>
          </w:tcPr>
          <w:p>
            <w:pPr>
              <w:jc w:val="center"/>
              <w:rPr>
                <w:rFonts w:ascii="Times New Roman" w:hAnsi="Times New Roman"/>
                <w:color w:val="auto"/>
                <w:highlight w:val="none"/>
              </w:rPr>
            </w:pPr>
            <w:r>
              <w:rPr>
                <w:rFonts w:hint="default" w:ascii="Times New Roman" w:hAnsi="Times New Roman"/>
                <w:color w:val="auto"/>
                <w:highlight w:val="none"/>
              </w:rPr>
              <w:t>备注</w:t>
            </w:r>
          </w:p>
        </w:tc>
        <w:tc>
          <w:tcPr>
            <w:tcW w:w="14404" w:type="dxa"/>
            <w:gridSpan w:val="13"/>
            <w:noWrap w:val="0"/>
            <w:vAlign w:val="center"/>
          </w:tcPr>
          <w:p>
            <w:pPr>
              <w:rPr>
                <w:rFonts w:ascii="Times New Roman" w:hAnsi="Times New Roman"/>
                <w:color w:val="auto"/>
                <w:highlight w:val="none"/>
              </w:rPr>
            </w:pPr>
            <w:r>
              <w:rPr>
                <w:rFonts w:hint="default" w:ascii="Times New Roman" w:hAnsi="Times New Roman"/>
                <w:b/>
                <w:color w:val="auto"/>
                <w:highlight w:val="none"/>
              </w:rPr>
              <w:t>1.</w:t>
            </w:r>
            <w:r>
              <w:rPr>
                <w:rFonts w:hint="default" w:ascii="Times New Roman" w:hAnsi="Times New Roman"/>
                <w:color w:val="auto"/>
                <w:highlight w:val="none"/>
              </w:rPr>
              <w:t>辖区驻有消防救援站的乡镇，可免建专职消防队；</w:t>
            </w:r>
          </w:p>
          <w:p>
            <w:pPr>
              <w:rPr>
                <w:rFonts w:ascii="Times New Roman" w:hAnsi="Times New Roman"/>
                <w:color w:val="auto"/>
                <w:highlight w:val="none"/>
              </w:rPr>
            </w:pPr>
            <w:r>
              <w:rPr>
                <w:rFonts w:hint="default" w:ascii="Times New Roman" w:hAnsi="Times New Roman"/>
                <w:b/>
                <w:color w:val="auto"/>
                <w:highlight w:val="none"/>
              </w:rPr>
              <w:t>2.</w:t>
            </w:r>
            <w:r>
              <w:rPr>
                <w:rFonts w:hint="default" w:ascii="Times New Roman" w:hAnsi="Times New Roman"/>
                <w:color w:val="auto"/>
                <w:highlight w:val="none"/>
              </w:rPr>
              <w:t>消防救援站保护范围之内的街道，考核组现场选择辖区最不利点，按照5分钟到达的标准，进行消防救援站出警响应时间测试。符合标准的，可免建专职消防队；</w:t>
            </w:r>
          </w:p>
          <w:p>
            <w:pPr>
              <w:rPr>
                <w:rFonts w:ascii="Times New Roman" w:hAnsi="Times New Roman"/>
                <w:color w:val="auto"/>
                <w:highlight w:val="none"/>
              </w:rPr>
            </w:pPr>
            <w:r>
              <w:rPr>
                <w:rFonts w:hint="default" w:ascii="Times New Roman" w:hAnsi="Times New Roman"/>
                <w:b/>
                <w:color w:val="auto"/>
                <w:highlight w:val="none"/>
              </w:rPr>
              <w:t>3.</w:t>
            </w:r>
            <w:r>
              <w:rPr>
                <w:rFonts w:hint="default" w:ascii="Times New Roman" w:hAnsi="Times New Roman"/>
                <w:color w:val="auto"/>
                <w:highlight w:val="none"/>
              </w:rPr>
              <w:t>消防救援站保护范围之外的街道，应建立政府专职消防队；</w:t>
            </w:r>
          </w:p>
          <w:p>
            <w:pPr>
              <w:rPr>
                <w:rFonts w:hint="default" w:ascii="Times New Roman" w:hAnsi="Times New Roman"/>
                <w:color w:val="auto"/>
                <w:highlight w:val="none"/>
              </w:rPr>
            </w:pPr>
            <w:r>
              <w:rPr>
                <w:rFonts w:hint="default" w:ascii="Times New Roman" w:hAnsi="Times New Roman"/>
                <w:b/>
                <w:color w:val="auto"/>
                <w:highlight w:val="none"/>
              </w:rPr>
              <w:t>4.</w:t>
            </w:r>
            <w:r>
              <w:rPr>
                <w:rFonts w:hint="default" w:ascii="Times New Roman" w:hAnsi="Times New Roman"/>
                <w:color w:val="auto"/>
                <w:highlight w:val="none"/>
              </w:rPr>
              <w:t>所有重点地区的政府专职消防队，全部执行一级乡镇专职消防队标准；</w:t>
            </w:r>
          </w:p>
          <w:p>
            <w:pPr>
              <w:rPr>
                <w:rFonts w:hint="default" w:ascii="Times New Roman" w:hAnsi="Times New Roman"/>
                <w:color w:val="auto"/>
                <w:highlight w:val="none"/>
              </w:rPr>
            </w:pPr>
            <w:r>
              <w:rPr>
                <w:rFonts w:hint="default" w:ascii="Times New Roman" w:hAnsi="Times New Roman"/>
                <w:b/>
                <w:color w:val="auto"/>
                <w:highlight w:val="none"/>
              </w:rPr>
              <w:t>5.</w:t>
            </w:r>
            <w:r>
              <w:rPr>
                <w:rFonts w:hint="default" w:ascii="Times New Roman" w:hAnsi="Times New Roman"/>
                <w:color w:val="auto"/>
                <w:highlight w:val="none"/>
              </w:rPr>
              <w:t>所有重点地区辖区内下辖行政村、社区的，行政村社区均应按标准建立社区（村）微型消防站，并进行评估计分；</w:t>
            </w:r>
          </w:p>
          <w:p>
            <w:pPr>
              <w:rPr>
                <w:rFonts w:hint="default" w:ascii="Times New Roman" w:hAnsi="Times New Roman"/>
                <w:color w:val="auto"/>
                <w:highlight w:val="none"/>
              </w:rPr>
            </w:pPr>
            <w:r>
              <w:rPr>
                <w:rFonts w:hint="default" w:ascii="Times New Roman" w:hAnsi="Times New Roman"/>
                <w:b/>
                <w:color w:val="auto"/>
                <w:highlight w:val="none"/>
              </w:rPr>
              <w:t>6.</w:t>
            </w:r>
            <w:r>
              <w:rPr>
                <w:rFonts w:hint="default" w:ascii="Times New Roman" w:hAnsi="Times New Roman"/>
                <w:color w:val="auto"/>
                <w:highlight w:val="none"/>
              </w:rPr>
              <w:t>所有重点地区辖区内符合消防安全重点单位界定标准（含已公告明确的消防安全重点单位和应列未列为消防安全重点单位）的建筑，均应按标准建立重点单位微型消防站，并进行评估计分；</w:t>
            </w:r>
          </w:p>
          <w:p>
            <w:pPr>
              <w:rPr>
                <w:rFonts w:hint="default" w:ascii="Times New Roman" w:hAnsi="Times New Roman"/>
                <w:color w:val="auto"/>
                <w:highlight w:val="none"/>
              </w:rPr>
            </w:pPr>
            <w:r>
              <w:rPr>
                <w:rFonts w:hint="default" w:ascii="Times New Roman" w:hAnsi="Times New Roman"/>
                <w:b/>
                <w:color w:val="auto"/>
                <w:highlight w:val="none"/>
              </w:rPr>
              <w:t>7.</w:t>
            </w:r>
            <w:r>
              <w:rPr>
                <w:rFonts w:hint="default" w:ascii="Times New Roman" w:hAnsi="Times New Roman"/>
                <w:color w:val="auto"/>
                <w:highlight w:val="none"/>
              </w:rPr>
              <w:t>重点地区为社区（村）的，按照社区（村）标准对社区（村）微型消防站、重点单位微型消防站两类消防队伍进行评估计分；</w:t>
            </w:r>
          </w:p>
          <w:p>
            <w:pPr>
              <w:rPr>
                <w:rFonts w:ascii="Times New Roman" w:hAnsi="Times New Roman"/>
                <w:color w:val="auto"/>
                <w:highlight w:val="none"/>
              </w:rPr>
            </w:pPr>
            <w:r>
              <w:rPr>
                <w:rFonts w:hint="default" w:ascii="Times New Roman" w:hAnsi="Times New Roman"/>
                <w:b/>
                <w:color w:val="auto"/>
                <w:highlight w:val="none"/>
              </w:rPr>
              <w:t>8.</w:t>
            </w:r>
            <w:r>
              <w:rPr>
                <w:rFonts w:hint="default" w:ascii="Times New Roman" w:hAnsi="Times New Roman"/>
                <w:color w:val="auto"/>
                <w:highlight w:val="none"/>
              </w:rPr>
              <w:t xml:space="preserve">重点地区辖区内社区（村）微型消防站和重点单位微型消防站在2个以上的，以平均得分计分。 </w:t>
            </w:r>
          </w:p>
        </w:tc>
      </w:tr>
    </w:tbl>
    <w:p>
      <w:pPr>
        <w:spacing w:line="480" w:lineRule="exact"/>
        <w:jc w:val="center"/>
        <w:rPr>
          <w:rFonts w:ascii="Times New Roman" w:hAnsi="Times New Roman"/>
          <w:b/>
          <w:color w:val="auto"/>
          <w:sz w:val="32"/>
          <w:szCs w:val="32"/>
          <w:highlight w:val="none"/>
        </w:rPr>
      </w:pPr>
      <w:r>
        <w:rPr>
          <w:rFonts w:ascii="Times New Roman" w:hAnsi="Times New Roman" w:eastAsia="楷体"/>
          <w:color w:val="auto"/>
          <w:highlight w:val="none"/>
        </w:rPr>
        <w:br w:type="page"/>
      </w:r>
      <w:r>
        <w:rPr>
          <w:rFonts w:ascii="Times New Roman" w:hAnsi="Times New Roman"/>
          <w:b/>
          <w:color w:val="auto"/>
          <w:sz w:val="32"/>
          <w:szCs w:val="32"/>
          <w:highlight w:val="none"/>
        </w:rPr>
        <w:t>（</w:t>
      </w:r>
      <w:r>
        <w:rPr>
          <w:rFonts w:hint="default" w:ascii="Times New Roman" w:hAnsi="Times New Roman"/>
          <w:b/>
          <w:color w:val="auto"/>
          <w:sz w:val="32"/>
          <w:szCs w:val="32"/>
          <w:highlight w:val="none"/>
        </w:rPr>
        <w:t>八</w:t>
      </w:r>
      <w:r>
        <w:rPr>
          <w:rFonts w:ascii="Times New Roman" w:hAnsi="Times New Roman"/>
          <w:b/>
          <w:color w:val="auto"/>
          <w:sz w:val="32"/>
          <w:szCs w:val="32"/>
          <w:highlight w:val="none"/>
        </w:rPr>
        <w:t>）消防安全网格化管理评估细则（100分）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2516"/>
        <w:gridCol w:w="4515"/>
        <w:gridCol w:w="4833"/>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项目</w:t>
            </w:r>
          </w:p>
        </w:tc>
        <w:tc>
          <w:tcPr>
            <w:tcW w:w="2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检查内容</w:t>
            </w: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检查标准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ascii="Times New Roman" w:hAnsi="Times New Roman" w:cs="Times New Roman"/>
                <w:b/>
                <w:bCs/>
                <w:color w:val="auto"/>
                <w:kern w:val="2"/>
                <w:sz w:val="24"/>
                <w:szCs w:val="24"/>
                <w:highlight w:val="none"/>
                <w:lang w:val="en-US" w:eastAsia="zh-CN"/>
              </w:rPr>
              <w:t>检查方法</w:t>
            </w:r>
          </w:p>
        </w:tc>
        <w:tc>
          <w:tcPr>
            <w:tcW w:w="7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cs="Times New Roman"/>
                <w:b/>
                <w:bCs/>
                <w:color w:val="auto"/>
                <w:kern w:val="2"/>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28"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b/>
                <w:color w:val="auto"/>
                <w:kern w:val="0"/>
                <w:sz w:val="24"/>
                <w:highlight w:val="none"/>
              </w:rPr>
            </w:pPr>
            <w:r>
              <w:rPr>
                <w:rFonts w:ascii="Times New Roman" w:hAnsi="Times New Roman"/>
                <w:b/>
                <w:color w:val="auto"/>
                <w:kern w:val="0"/>
                <w:sz w:val="24"/>
                <w:highlight w:val="none"/>
              </w:rPr>
              <w:t>消防安全网格化管理（100分）</w:t>
            </w:r>
          </w:p>
        </w:tc>
        <w:tc>
          <w:tcPr>
            <w:tcW w:w="2516"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auto"/>
                <w:highlight w:val="none"/>
              </w:rPr>
            </w:pPr>
            <w:r>
              <w:rPr>
                <w:rFonts w:ascii="Times New Roman" w:hAnsi="Times New Roman"/>
                <w:color w:val="auto"/>
                <w:highlight w:val="none"/>
              </w:rPr>
              <w:t>1.网格化管理（</w:t>
            </w:r>
            <w:r>
              <w:rPr>
                <w:rFonts w:hint="default" w:ascii="Times New Roman" w:hAnsi="Times New Roman"/>
                <w:color w:val="auto"/>
                <w:highlight w:val="none"/>
              </w:rPr>
              <w:t>7</w:t>
            </w:r>
            <w:r>
              <w:rPr>
                <w:rFonts w:ascii="Times New Roman" w:hAnsi="Times New Roman"/>
                <w:color w:val="auto"/>
                <w:highlight w:val="none"/>
              </w:rPr>
              <w:t>0分）</w:t>
            </w: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Times New Roman" w:hAnsi="Times New Roman"/>
                <w:color w:val="auto"/>
                <w:highlight w:val="none"/>
              </w:rPr>
            </w:pPr>
            <w:r>
              <w:rPr>
                <w:rFonts w:hint="default" w:ascii="Times New Roman" w:hAnsi="Times New Roman"/>
                <w:color w:val="auto"/>
                <w:highlight w:val="none"/>
              </w:rPr>
              <w:t>1.未明确承担消防安全网格化管理职责的机构或部门的，扣10分。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auto"/>
                <w:highlight w:val="none"/>
              </w:rPr>
            </w:pPr>
            <w:r>
              <w:rPr>
                <w:rFonts w:hint="default" w:ascii="Times New Roman" w:hAnsi="Times New Roman"/>
                <w:color w:val="auto"/>
                <w:highlight w:val="none"/>
              </w:rPr>
              <w:t>查阅文件资料</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auto"/>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auto"/>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olor w:val="auto"/>
                <w:highlight w:val="none"/>
              </w:rPr>
            </w:pPr>
            <w:r>
              <w:rPr>
                <w:rFonts w:hint="default" w:ascii="Times New Roman" w:hAnsi="Times New Roman"/>
                <w:color w:val="auto"/>
                <w:highlight w:val="none"/>
              </w:rPr>
              <w:t>2.未将</w:t>
            </w:r>
            <w:r>
              <w:rPr>
                <w:rFonts w:hint="default" w:ascii="Times New Roman" w:hAnsi="Times New Roman" w:cs="Times New Roman"/>
                <w:color w:val="auto"/>
                <w:kern w:val="0"/>
                <w:szCs w:val="21"/>
                <w:highlight w:val="none"/>
              </w:rPr>
              <w:t>消防网格纳入当地综治网格化管理体系或消防网格编码未采用综治网格统一编码的，未单独使用消防安全网格化管理信息管理系统，或未将消防安全网格化管理模块纳入</w:t>
            </w:r>
            <w:r>
              <w:rPr>
                <w:rFonts w:ascii="Times New Roman" w:hAnsi="Times New Roman" w:cs="Times New Roman"/>
                <w:color w:val="auto"/>
                <w:kern w:val="0"/>
                <w:szCs w:val="21"/>
                <w:highlight w:val="none"/>
              </w:rPr>
              <w:t>基层综治、社区、网格等信息化管理平台</w:t>
            </w:r>
            <w:r>
              <w:rPr>
                <w:rFonts w:hint="default" w:ascii="Times New Roman" w:hAnsi="Times New Roman" w:cs="Times New Roman"/>
                <w:color w:val="auto"/>
                <w:kern w:val="0"/>
                <w:szCs w:val="21"/>
                <w:highlight w:val="none"/>
              </w:rPr>
              <w:t>，</w:t>
            </w:r>
            <w:r>
              <w:rPr>
                <w:rFonts w:hint="default" w:ascii="Times New Roman" w:hAnsi="Times New Roman"/>
                <w:color w:val="auto"/>
                <w:highlight w:val="none"/>
              </w:rPr>
              <w:t>扣</w:t>
            </w:r>
            <w:r>
              <w:rPr>
                <w:rFonts w:hint="default" w:ascii="Times New Roman" w:hAnsi="Times New Roman"/>
                <w:color w:val="auto"/>
                <w:highlight w:val="none"/>
                <w:lang w:val="en-US" w:eastAsia="zh-CN"/>
              </w:rPr>
              <w:t>5</w:t>
            </w:r>
            <w:r>
              <w:rPr>
                <w:rFonts w:hint="default" w:ascii="Times New Roman" w:hAnsi="Times New Roman"/>
                <w:color w:val="auto"/>
                <w:highlight w:val="none"/>
              </w:rPr>
              <w:t>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color w:val="auto"/>
                <w:highlight w:val="none"/>
              </w:rPr>
            </w:pPr>
            <w:r>
              <w:rPr>
                <w:rFonts w:hint="default" w:ascii="Times New Roman" w:hAnsi="Times New Roman" w:cs="Times New Roman"/>
                <w:color w:val="auto"/>
                <w:kern w:val="0"/>
                <w:szCs w:val="21"/>
                <w:highlight w:val="none"/>
              </w:rPr>
              <w:t>查看消防网格、综治网格系统及编码等。未启用综治网格系统的，查阅核实是否印发贯彻落实意见，消防网格是否按要求划分并统一编码。查看网格员是否使用消防安全网格化信息管理系统。</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auto"/>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auto"/>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olor w:val="auto"/>
                <w:highlight w:val="none"/>
              </w:rPr>
            </w:pPr>
            <w:r>
              <w:rPr>
                <w:rFonts w:hint="default" w:ascii="Times New Roman" w:hAnsi="Times New Roman"/>
                <w:color w:val="auto"/>
                <w:highlight w:val="none"/>
              </w:rPr>
              <w:t>3.</w:t>
            </w:r>
            <w:r>
              <w:rPr>
                <w:rFonts w:ascii="Times New Roman" w:hAnsi="Times New Roman" w:cs="Times New Roman"/>
                <w:color w:val="auto"/>
                <w:kern w:val="0"/>
                <w:szCs w:val="21"/>
                <w:highlight w:val="none"/>
              </w:rPr>
              <w:t>镇</w:t>
            </w:r>
            <w:r>
              <w:rPr>
                <w:rFonts w:hint="default" w:ascii="Times New Roman" w:hAnsi="Times New Roman" w:cs="Times New Roman"/>
                <w:color w:val="auto"/>
                <w:kern w:val="0"/>
                <w:szCs w:val="21"/>
                <w:highlight w:val="none"/>
              </w:rPr>
              <w:t>（</w:t>
            </w:r>
            <w:r>
              <w:rPr>
                <w:rFonts w:ascii="Times New Roman" w:hAnsi="Times New Roman" w:cs="Times New Roman"/>
                <w:color w:val="auto"/>
                <w:kern w:val="0"/>
                <w:szCs w:val="21"/>
                <w:highlight w:val="none"/>
              </w:rPr>
              <w:t>街</w:t>
            </w:r>
            <w:r>
              <w:rPr>
                <w:rFonts w:hint="default" w:ascii="Times New Roman" w:hAnsi="Times New Roman" w:cs="Times New Roman"/>
                <w:color w:val="auto"/>
                <w:kern w:val="0"/>
                <w:szCs w:val="21"/>
                <w:highlight w:val="none"/>
              </w:rPr>
              <w:t>）、村（社区）、</w:t>
            </w:r>
            <w:r>
              <w:rPr>
                <w:rFonts w:ascii="Times New Roman" w:hAnsi="Times New Roman" w:cs="Times New Roman"/>
                <w:color w:val="auto"/>
                <w:kern w:val="0"/>
                <w:szCs w:val="21"/>
                <w:highlight w:val="none"/>
              </w:rPr>
              <w:t>消防网格</w:t>
            </w:r>
            <w:r>
              <w:rPr>
                <w:rFonts w:hint="default" w:ascii="Times New Roman" w:hAnsi="Times New Roman" w:cs="Times New Roman"/>
                <w:color w:val="auto"/>
                <w:kern w:val="0"/>
                <w:szCs w:val="21"/>
                <w:highlight w:val="none"/>
              </w:rPr>
              <w:t>未按《</w:t>
            </w:r>
            <w:r>
              <w:rPr>
                <w:rFonts w:ascii="Times New Roman" w:hAnsi="Times New Roman" w:cs="Times New Roman"/>
                <w:color w:val="auto"/>
                <w:kern w:val="0"/>
                <w:szCs w:val="21"/>
                <w:highlight w:val="none"/>
              </w:rPr>
              <w:t>关于进一步规范乡镇街道消防安全网格化管理的意见</w:t>
            </w:r>
            <w:r>
              <w:rPr>
                <w:rFonts w:hint="default" w:ascii="Times New Roman" w:hAnsi="Times New Roman" w:cs="Times New Roman"/>
                <w:color w:val="auto"/>
                <w:kern w:val="0"/>
                <w:szCs w:val="21"/>
                <w:highlight w:val="none"/>
              </w:rPr>
              <w:t>》要求落实人员和组织架构的，</w:t>
            </w:r>
            <w:r>
              <w:rPr>
                <w:rFonts w:hint="default" w:ascii="Times New Roman" w:hAnsi="Times New Roman"/>
                <w:color w:val="auto"/>
                <w:highlight w:val="none"/>
              </w:rPr>
              <w:t>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color w:val="auto"/>
                <w:highlight w:val="none"/>
              </w:rPr>
            </w:pPr>
            <w:r>
              <w:rPr>
                <w:rFonts w:hint="default" w:ascii="Times New Roman" w:hAnsi="Times New Roman" w:cs="Times New Roman"/>
                <w:color w:val="auto"/>
                <w:kern w:val="0"/>
                <w:szCs w:val="21"/>
                <w:highlight w:val="none"/>
              </w:rPr>
              <w:t>查看组织架构图，并对所有镇（街）、各村（社区）的网格员身份进行核实，发现1名人员未按要求配齐的，扣5分，扣完为止。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auto"/>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auto"/>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4.镇（街）消防安全网格管理中心未</w:t>
            </w:r>
            <w:r>
              <w:rPr>
                <w:rFonts w:ascii="Times New Roman" w:hAnsi="Times New Roman" w:cs="Times New Roman"/>
                <w:color w:val="auto"/>
                <w:kern w:val="0"/>
                <w:szCs w:val="21"/>
                <w:highlight w:val="none"/>
              </w:rPr>
              <w:t>建立</w:t>
            </w:r>
            <w:r>
              <w:rPr>
                <w:rFonts w:hint="default" w:ascii="Times New Roman" w:hAnsi="Times New Roman" w:cs="Times New Roman"/>
                <w:color w:val="auto"/>
                <w:kern w:val="0"/>
                <w:szCs w:val="21"/>
                <w:highlight w:val="none"/>
              </w:rPr>
              <w:t>健全消防安全网格化管理</w:t>
            </w:r>
            <w:r>
              <w:rPr>
                <w:rFonts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rPr>
              <w:t>四</w:t>
            </w:r>
            <w:r>
              <w:rPr>
                <w:rFonts w:ascii="Times New Roman" w:hAnsi="Times New Roman" w:cs="Times New Roman"/>
                <w:color w:val="auto"/>
                <w:kern w:val="0"/>
                <w:szCs w:val="21"/>
                <w:highlight w:val="none"/>
              </w:rPr>
              <w:t>步闭环”工作流程</w:t>
            </w:r>
            <w:r>
              <w:rPr>
                <w:rFonts w:hint="default" w:ascii="Times New Roman" w:hAnsi="Times New Roman" w:cs="Times New Roman"/>
                <w:color w:val="auto"/>
                <w:kern w:val="0"/>
                <w:szCs w:val="21"/>
                <w:highlight w:val="none"/>
              </w:rPr>
              <w:t>（即</w:t>
            </w:r>
            <w:r>
              <w:rPr>
                <w:rFonts w:ascii="Times New Roman" w:hAnsi="Times New Roman" w:cs="Times New Roman"/>
                <w:color w:val="auto"/>
                <w:kern w:val="0"/>
                <w:szCs w:val="21"/>
                <w:highlight w:val="none"/>
              </w:rPr>
              <w:t>“发现上报、调度处置、回访复查、评价结案”</w:t>
            </w:r>
            <w:r>
              <w:rPr>
                <w:rFonts w:hint="default" w:ascii="Times New Roman" w:hAnsi="Times New Roman" w:cs="Times New Roman"/>
                <w:color w:val="auto"/>
                <w:kern w:val="0"/>
                <w:szCs w:val="21"/>
                <w:highlight w:val="none"/>
              </w:rPr>
              <w:t>）</w:t>
            </w:r>
            <w:r>
              <w:rPr>
                <w:rFonts w:ascii="Times New Roman" w:hAnsi="Times New Roman" w:cs="Times New Roman"/>
                <w:color w:val="auto"/>
                <w:kern w:val="0"/>
                <w:szCs w:val="21"/>
                <w:highlight w:val="none"/>
              </w:rPr>
              <w:t>，实现作业流程标准化</w:t>
            </w:r>
            <w:r>
              <w:rPr>
                <w:rFonts w:hint="default" w:ascii="Times New Roman" w:hAnsi="Times New Roman" w:cs="Times New Roman"/>
                <w:color w:val="auto"/>
                <w:kern w:val="0"/>
                <w:szCs w:val="21"/>
                <w:highlight w:val="none"/>
              </w:rPr>
              <w:t>的，扣</w:t>
            </w:r>
            <w:r>
              <w:rPr>
                <w:rFonts w:hint="default" w:ascii="Times New Roman" w:hAnsi="Times New Roman" w:cs="Times New Roman"/>
                <w:color w:val="auto"/>
                <w:kern w:val="0"/>
                <w:szCs w:val="21"/>
                <w:highlight w:val="none"/>
                <w:lang w:val="en-US" w:eastAsia="zh-CN"/>
              </w:rPr>
              <w:t>5</w:t>
            </w:r>
            <w:r>
              <w:rPr>
                <w:rFonts w:hint="default" w:ascii="Times New Roman" w:hAnsi="Times New Roman" w:cs="Times New Roman"/>
                <w:color w:val="auto"/>
                <w:kern w:val="0"/>
                <w:szCs w:val="21"/>
                <w:highlight w:val="none"/>
              </w:rPr>
              <w:t>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结合所有“三小”场所、出租屋评估进行现场核查，检查工作流程是否规范，隐患是否查改到位，发现1家不符合</w:t>
            </w:r>
            <w:r>
              <w:rPr>
                <w:rFonts w:ascii="Times New Roman" w:hAnsi="Times New Roman" w:cs="Times New Roman"/>
                <w:color w:val="auto"/>
                <w:kern w:val="0"/>
                <w:szCs w:val="21"/>
                <w:highlight w:val="none"/>
              </w:rPr>
              <w:t>工作流程</w:t>
            </w:r>
            <w:r>
              <w:rPr>
                <w:rFonts w:hint="default" w:ascii="Times New Roman" w:hAnsi="Times New Roman" w:cs="Times New Roman"/>
                <w:color w:val="auto"/>
                <w:kern w:val="0"/>
                <w:szCs w:val="21"/>
                <w:highlight w:val="none"/>
              </w:rPr>
              <w:t>要求的，扣2分，扣完为止。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auto"/>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auto"/>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kern w:val="0"/>
                <w:szCs w:val="21"/>
                <w:highlight w:val="none"/>
                <w:lang w:val="en-US"/>
              </w:rPr>
            </w:pPr>
            <w:r>
              <w:rPr>
                <w:rFonts w:hint="default" w:ascii="Times New Roman" w:hAnsi="Times New Roman" w:cs="Times New Roman"/>
                <w:color w:val="auto"/>
                <w:kern w:val="0"/>
                <w:szCs w:val="21"/>
                <w:highlight w:val="none"/>
                <w:lang w:val="en-US" w:eastAsia="zh-CN"/>
              </w:rPr>
              <w:t>5、镇（街）未</w:t>
            </w:r>
            <w:r>
              <w:rPr>
                <w:rFonts w:hint="default" w:ascii="Times New Roman" w:hAnsi="Times New Roman" w:cs="Times New Roman"/>
                <w:color w:val="auto"/>
                <w:kern w:val="0"/>
                <w:szCs w:val="21"/>
                <w:highlight w:val="none"/>
                <w:lang w:eastAsia="zh-CN"/>
              </w:rPr>
              <w:t>明确“</w:t>
            </w:r>
            <w:r>
              <w:rPr>
                <w:rFonts w:hint="default" w:ascii="Times New Roman" w:hAnsi="Times New Roman" w:cs="Times New Roman"/>
                <w:color w:val="auto"/>
                <w:kern w:val="0"/>
                <w:szCs w:val="21"/>
                <w:highlight w:val="none"/>
                <w:lang w:val="en-US" w:eastAsia="zh-CN"/>
              </w:rPr>
              <w:t>三合一</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场所</w:t>
            </w:r>
            <w:r>
              <w:rPr>
                <w:rFonts w:hint="default" w:ascii="Times New Roman" w:hAnsi="Times New Roman" w:cs="Times New Roman"/>
                <w:color w:val="auto"/>
                <w:kern w:val="0"/>
                <w:szCs w:val="21"/>
                <w:highlight w:val="none"/>
                <w:lang w:eastAsia="zh-CN"/>
              </w:rPr>
              <w:t>检查整治部门、人员，</w:t>
            </w:r>
            <w:r>
              <w:rPr>
                <w:rFonts w:hint="default" w:ascii="Times New Roman" w:hAnsi="Times New Roman" w:cs="Times New Roman"/>
                <w:color w:val="auto"/>
                <w:kern w:val="0"/>
                <w:szCs w:val="21"/>
                <w:highlight w:val="none"/>
                <w:lang w:val="en-US" w:eastAsia="zh-CN"/>
              </w:rPr>
              <w:t>未</w:t>
            </w:r>
            <w:r>
              <w:rPr>
                <w:rFonts w:hint="default" w:ascii="Times New Roman" w:hAnsi="Times New Roman" w:cs="Times New Roman"/>
                <w:color w:val="auto"/>
                <w:kern w:val="0"/>
                <w:szCs w:val="21"/>
                <w:highlight w:val="none"/>
                <w:lang w:eastAsia="zh-CN"/>
              </w:rPr>
              <w:t>严格落实“谁检查、谁负责”制度，坚决打击“违规住人”现象，</w:t>
            </w:r>
            <w:r>
              <w:rPr>
                <w:rFonts w:hint="default" w:ascii="Times New Roman" w:hAnsi="Times New Roman" w:cs="Times New Roman"/>
                <w:color w:val="auto"/>
                <w:kern w:val="0"/>
                <w:szCs w:val="21"/>
                <w:highlight w:val="none"/>
                <w:lang w:val="en-US" w:eastAsia="zh-CN"/>
              </w:rPr>
              <w:t>未</w:t>
            </w:r>
            <w:r>
              <w:rPr>
                <w:rFonts w:hint="default" w:ascii="Times New Roman" w:hAnsi="Times New Roman" w:cs="Times New Roman"/>
                <w:color w:val="auto"/>
                <w:kern w:val="0"/>
                <w:szCs w:val="21"/>
                <w:highlight w:val="none"/>
                <w:lang w:eastAsia="zh-CN"/>
              </w:rPr>
              <w:t>实时动态登记场所信息并建立台账</w:t>
            </w:r>
            <w:r>
              <w:rPr>
                <w:rFonts w:hint="default" w:ascii="Times New Roman" w:hAnsi="Times New Roman" w:cs="Times New Roman"/>
                <w:color w:val="auto"/>
                <w:kern w:val="0"/>
                <w:szCs w:val="21"/>
                <w:highlight w:val="none"/>
                <w:lang w:val="en-US" w:eastAsia="zh-CN"/>
              </w:rPr>
              <w:t>的，扣10分。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查看台账资料</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未</w:t>
            </w:r>
            <w:r>
              <w:rPr>
                <w:rFonts w:hint="default" w:ascii="Times New Roman" w:hAnsi="Times New Roman" w:cs="Times New Roman"/>
                <w:color w:val="auto"/>
                <w:kern w:val="0"/>
                <w:szCs w:val="21"/>
                <w:highlight w:val="none"/>
                <w:lang w:eastAsia="zh-CN"/>
              </w:rPr>
              <w:t>将“三合一”场所列为每月必查对象</w:t>
            </w:r>
            <w:r>
              <w:rPr>
                <w:rFonts w:hint="default" w:ascii="Times New Roman" w:hAnsi="Times New Roman" w:cs="Times New Roman"/>
                <w:color w:val="auto"/>
                <w:kern w:val="0"/>
                <w:szCs w:val="21"/>
                <w:highlight w:val="none"/>
                <w:lang w:val="en-US" w:eastAsia="zh-CN"/>
              </w:rPr>
              <w:t>并</w:t>
            </w:r>
            <w:r>
              <w:rPr>
                <w:rFonts w:hint="default" w:ascii="Times New Roman" w:hAnsi="Times New Roman" w:cs="Times New Roman"/>
                <w:color w:val="auto"/>
                <w:kern w:val="0"/>
                <w:szCs w:val="21"/>
                <w:highlight w:val="none"/>
                <w:lang w:eastAsia="zh-CN"/>
              </w:rPr>
              <w:t>建立健全火灾</w:t>
            </w:r>
            <w:r>
              <w:rPr>
                <w:rFonts w:hint="default" w:ascii="Times New Roman" w:hAnsi="Times New Roman" w:cs="Times New Roman"/>
                <w:color w:val="auto"/>
                <w:kern w:val="0"/>
                <w:szCs w:val="21"/>
                <w:highlight w:val="none"/>
                <w:lang w:val="en-US" w:eastAsia="zh-CN"/>
              </w:rPr>
              <w:t>隐患跟踪和复查回访机制并落实的扣3分；每周开展夜间错时检查行动少于1次的，扣2分。每月</w:t>
            </w:r>
            <w:r>
              <w:rPr>
                <w:rFonts w:hint="default" w:ascii="Times New Roman" w:hAnsi="Times New Roman" w:cs="Times New Roman"/>
                <w:color w:val="auto"/>
                <w:kern w:val="0"/>
                <w:szCs w:val="21"/>
                <w:highlight w:val="none"/>
                <w:lang w:eastAsia="zh-CN"/>
              </w:rPr>
              <w:t>上门宣传服务少于</w:t>
            </w:r>
            <w:r>
              <w:rPr>
                <w:rFonts w:hint="default" w:ascii="Times New Roman" w:hAnsi="Times New Roman" w:cs="Times New Roman"/>
                <w:color w:val="auto"/>
                <w:kern w:val="0"/>
                <w:szCs w:val="21"/>
                <w:highlight w:val="none"/>
                <w:lang w:val="en-US" w:eastAsia="zh-CN"/>
              </w:rPr>
              <w:t>1次的，扣2分</w:t>
            </w:r>
            <w:r>
              <w:rPr>
                <w:rFonts w:hint="default" w:ascii="Times New Roman" w:hAnsi="Times New Roman" w:cs="Times New Roman"/>
                <w:color w:val="auto"/>
                <w:kern w:val="0"/>
                <w:szCs w:val="21"/>
                <w:highlight w:val="none"/>
                <w:lang w:eastAsia="zh-CN"/>
              </w:rPr>
              <w:t>。每半年分街巷组织灭火救援疏散演练</w:t>
            </w:r>
            <w:r>
              <w:rPr>
                <w:rFonts w:hint="default" w:ascii="Times New Roman" w:hAnsi="Times New Roman" w:cs="Times New Roman"/>
                <w:color w:val="auto"/>
                <w:kern w:val="0"/>
                <w:szCs w:val="21"/>
                <w:highlight w:val="none"/>
                <w:lang w:val="en-US" w:eastAsia="zh-CN"/>
              </w:rPr>
              <w:t>少于1</w:t>
            </w:r>
            <w:r>
              <w:rPr>
                <w:rFonts w:hint="default" w:ascii="Times New Roman" w:hAnsi="Times New Roman" w:cs="Times New Roman"/>
                <w:color w:val="auto"/>
                <w:kern w:val="0"/>
                <w:szCs w:val="21"/>
                <w:highlight w:val="none"/>
                <w:lang w:eastAsia="zh-CN"/>
              </w:rPr>
              <w:t>次</w:t>
            </w:r>
            <w:r>
              <w:rPr>
                <w:rFonts w:hint="default" w:ascii="Times New Roman" w:hAnsi="Times New Roman" w:cs="Times New Roman"/>
                <w:color w:val="auto"/>
                <w:kern w:val="0"/>
                <w:szCs w:val="21"/>
                <w:highlight w:val="none"/>
                <w:lang w:val="en-US" w:eastAsia="zh-CN"/>
              </w:rPr>
              <w:t>的</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扣3分</w:t>
            </w:r>
            <w:r>
              <w:rPr>
                <w:rFonts w:hint="default" w:ascii="Times New Roman" w:hAnsi="Times New Roman" w:cs="Times New Roman"/>
                <w:color w:val="auto"/>
                <w:kern w:val="0"/>
                <w:szCs w:val="21"/>
                <w:highlight w:val="none"/>
                <w:lang w:eastAsia="zh-CN"/>
              </w:rPr>
              <w:t>。</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auto"/>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auto"/>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6、镇（街）未开展出租屋日常火灾隐患排查整治工作，未实时动态登记场所信息并建立台账的，扣10分。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cs="Times New Roman"/>
                <w:color w:val="auto"/>
                <w:kern w:val="0"/>
                <w:szCs w:val="21"/>
                <w:highlight w:val="none"/>
              </w:rPr>
            </w:pPr>
            <w:r>
              <w:rPr>
                <w:rFonts w:hint="default" w:ascii="Times New Roman" w:hAnsi="Times New Roman" w:eastAsia="宋体" w:cs="Times New Roman"/>
                <w:color w:val="auto"/>
                <w:kern w:val="0"/>
                <w:sz w:val="21"/>
                <w:szCs w:val="21"/>
                <w:highlight w:val="none"/>
                <w:lang w:val="en-US" w:eastAsia="zh-CN"/>
              </w:rPr>
              <w:t>查看台账资料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每周</w:t>
            </w:r>
            <w:r>
              <w:rPr>
                <w:rFonts w:hint="default" w:ascii="Times New Roman" w:hAnsi="Times New Roman" w:eastAsia="宋体" w:cs="Times New Roman"/>
                <w:color w:val="auto"/>
                <w:kern w:val="0"/>
                <w:sz w:val="21"/>
                <w:szCs w:val="21"/>
                <w:highlight w:val="none"/>
                <w:lang w:eastAsia="zh-CN"/>
              </w:rPr>
              <w:t>排查数量少于辖区内逐条街巷出租屋数量的</w:t>
            </w:r>
            <w:r>
              <w:rPr>
                <w:rFonts w:hint="default" w:ascii="Times New Roman" w:hAnsi="Times New Roman" w:eastAsia="宋体" w:cs="Times New Roman"/>
                <w:color w:val="auto"/>
                <w:kern w:val="0"/>
                <w:sz w:val="21"/>
                <w:szCs w:val="21"/>
                <w:highlight w:val="none"/>
                <w:lang w:val="en-US" w:eastAsia="zh-CN"/>
              </w:rPr>
              <w:t>20%或未同步开展上门宣传服务的扣3分；每周开展夜间错时检查行动少于1次的，扣2分；</w:t>
            </w:r>
            <w:r>
              <w:rPr>
                <w:rFonts w:hint="default" w:ascii="Times New Roman" w:hAnsi="Times New Roman" w:eastAsia="宋体" w:cs="Times New Roman"/>
                <w:color w:val="auto"/>
                <w:kern w:val="0"/>
                <w:sz w:val="21"/>
                <w:szCs w:val="21"/>
                <w:highlight w:val="none"/>
                <w:lang w:eastAsia="zh-CN"/>
              </w:rPr>
              <w:t>每季度应组织消防安全主题活动</w:t>
            </w:r>
            <w:r>
              <w:rPr>
                <w:rFonts w:hint="default" w:ascii="Times New Roman" w:hAnsi="Times New Roman" w:eastAsia="宋体" w:cs="Times New Roman"/>
                <w:color w:val="auto"/>
                <w:kern w:val="0"/>
                <w:sz w:val="21"/>
                <w:szCs w:val="21"/>
                <w:highlight w:val="none"/>
                <w:lang w:val="en-US" w:eastAsia="zh-CN"/>
              </w:rPr>
              <w:t>少于1</w:t>
            </w:r>
            <w:r>
              <w:rPr>
                <w:rFonts w:hint="default" w:ascii="Times New Roman" w:hAnsi="Times New Roman" w:eastAsia="宋体" w:cs="Times New Roman"/>
                <w:color w:val="auto"/>
                <w:kern w:val="0"/>
                <w:sz w:val="21"/>
                <w:szCs w:val="21"/>
                <w:highlight w:val="none"/>
                <w:lang w:eastAsia="zh-CN"/>
              </w:rPr>
              <w:t>次</w:t>
            </w:r>
            <w:r>
              <w:rPr>
                <w:rFonts w:hint="default" w:ascii="Times New Roman" w:hAnsi="Times New Roman" w:eastAsia="宋体" w:cs="Times New Roman"/>
                <w:color w:val="auto"/>
                <w:kern w:val="0"/>
                <w:sz w:val="21"/>
                <w:szCs w:val="21"/>
                <w:highlight w:val="none"/>
                <w:lang w:val="en-US" w:eastAsia="zh-CN"/>
              </w:rPr>
              <w:t>的，扣2分；</w:t>
            </w:r>
            <w:r>
              <w:rPr>
                <w:rFonts w:hint="default" w:ascii="Times New Roman" w:hAnsi="Times New Roman" w:eastAsia="宋体" w:cs="Times New Roman"/>
                <w:color w:val="auto"/>
                <w:kern w:val="0"/>
                <w:sz w:val="21"/>
                <w:szCs w:val="21"/>
                <w:highlight w:val="none"/>
                <w:lang w:eastAsia="zh-CN"/>
              </w:rPr>
              <w:t>每半年分街巷组织灭火救援疏散演练</w:t>
            </w:r>
            <w:r>
              <w:rPr>
                <w:rFonts w:hint="default" w:ascii="Times New Roman" w:hAnsi="Times New Roman" w:eastAsia="宋体" w:cs="Times New Roman"/>
                <w:color w:val="auto"/>
                <w:kern w:val="0"/>
                <w:sz w:val="21"/>
                <w:szCs w:val="21"/>
                <w:highlight w:val="none"/>
                <w:lang w:val="en-US" w:eastAsia="zh-CN"/>
              </w:rPr>
              <w:t>少于1</w:t>
            </w:r>
            <w:r>
              <w:rPr>
                <w:rFonts w:hint="default" w:ascii="Times New Roman" w:hAnsi="Times New Roman" w:eastAsia="宋体" w:cs="Times New Roman"/>
                <w:color w:val="auto"/>
                <w:kern w:val="0"/>
                <w:sz w:val="21"/>
                <w:szCs w:val="21"/>
                <w:highlight w:val="none"/>
                <w:lang w:eastAsia="zh-CN"/>
              </w:rPr>
              <w:t>次</w:t>
            </w:r>
            <w:r>
              <w:rPr>
                <w:rFonts w:hint="default" w:ascii="Times New Roman" w:hAnsi="Times New Roman" w:eastAsia="宋体" w:cs="Times New Roman"/>
                <w:color w:val="auto"/>
                <w:kern w:val="0"/>
                <w:sz w:val="21"/>
                <w:szCs w:val="21"/>
                <w:highlight w:val="none"/>
                <w:lang w:val="en-US" w:eastAsia="zh-CN"/>
              </w:rPr>
              <w:t>的，扣2分</w:t>
            </w:r>
            <w:r>
              <w:rPr>
                <w:rFonts w:hint="default" w:ascii="Times New Roman" w:hAnsi="Times New Roman" w:eastAsia="宋体" w:cs="Times New Roman"/>
                <w:color w:val="auto"/>
                <w:kern w:val="0"/>
                <w:sz w:val="21"/>
                <w:szCs w:val="21"/>
                <w:highlight w:val="none"/>
                <w:lang w:eastAsia="zh-CN"/>
              </w:rPr>
              <w:t>。</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000000"/>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000000"/>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lang w:val="en-US" w:eastAsia="zh-CN"/>
              </w:rPr>
              <w:t>7</w:t>
            </w:r>
            <w:r>
              <w:rPr>
                <w:rFonts w:hint="default" w:ascii="Times New Roman" w:hAnsi="Times New Roman" w:cs="Times New Roman"/>
                <w:color w:val="000000"/>
                <w:kern w:val="0"/>
                <w:szCs w:val="21"/>
                <w:highlight w:val="none"/>
              </w:rPr>
              <w:t>.未</w:t>
            </w:r>
            <w:r>
              <w:rPr>
                <w:rFonts w:ascii="Times New Roman" w:hAnsi="Times New Roman" w:cs="Times New Roman"/>
                <w:color w:val="000000"/>
                <w:kern w:val="0"/>
                <w:szCs w:val="21"/>
                <w:highlight w:val="none"/>
              </w:rPr>
              <w:t>全面建立消防安全网格化管理“红、黄、绿”三色预警动态监管机制，科学确定具体判定条件和监管举措</w:t>
            </w:r>
            <w:r>
              <w:rPr>
                <w:rFonts w:hint="default" w:ascii="Times New Roman" w:hAnsi="Times New Roman" w:cs="Times New Roman"/>
                <w:color w:val="000000"/>
                <w:kern w:val="0"/>
                <w:szCs w:val="21"/>
                <w:highlight w:val="none"/>
              </w:rPr>
              <w:t>的，扣</w:t>
            </w:r>
            <w:r>
              <w:rPr>
                <w:rFonts w:hint="default" w:ascii="Times New Roman" w:hAnsi="Times New Roman" w:cs="Times New Roman"/>
                <w:color w:val="000000"/>
                <w:kern w:val="0"/>
                <w:szCs w:val="21"/>
                <w:highlight w:val="none"/>
                <w:lang w:val="en-US" w:eastAsia="zh-CN"/>
              </w:rPr>
              <w:t>5</w:t>
            </w:r>
            <w:r>
              <w:rPr>
                <w:rFonts w:hint="default" w:ascii="Times New Roman" w:hAnsi="Times New Roman" w:cs="Times New Roman"/>
                <w:color w:val="000000"/>
                <w:kern w:val="0"/>
                <w:szCs w:val="21"/>
                <w:highlight w:val="none"/>
              </w:rPr>
              <w:t>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结合所有“三小”场所、出租屋评估进行现场核查，发现1家未按</w:t>
            </w:r>
            <w:r>
              <w:rPr>
                <w:rFonts w:ascii="Times New Roman" w:hAnsi="Times New Roman" w:cs="Times New Roman"/>
                <w:color w:val="000000"/>
                <w:kern w:val="0"/>
                <w:szCs w:val="21"/>
                <w:highlight w:val="none"/>
              </w:rPr>
              <w:t>三色预警动态</w:t>
            </w:r>
            <w:r>
              <w:rPr>
                <w:rFonts w:hint="default" w:ascii="Times New Roman" w:hAnsi="Times New Roman" w:cs="Times New Roman"/>
                <w:color w:val="000000"/>
                <w:kern w:val="0"/>
                <w:szCs w:val="21"/>
                <w:highlight w:val="none"/>
              </w:rPr>
              <w:t>进行</w:t>
            </w:r>
            <w:r>
              <w:rPr>
                <w:rFonts w:ascii="Times New Roman" w:hAnsi="Times New Roman" w:cs="Times New Roman"/>
                <w:color w:val="000000"/>
                <w:kern w:val="0"/>
                <w:szCs w:val="21"/>
                <w:highlight w:val="none"/>
              </w:rPr>
              <w:t>监管</w:t>
            </w:r>
            <w:r>
              <w:rPr>
                <w:rFonts w:hint="default" w:ascii="Times New Roman" w:hAnsi="Times New Roman" w:cs="Times New Roman"/>
                <w:color w:val="000000"/>
                <w:kern w:val="0"/>
                <w:szCs w:val="21"/>
                <w:highlight w:val="none"/>
              </w:rPr>
              <w:t>的，扣2分，扣完为止。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000000"/>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000000"/>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lang w:val="en-US" w:eastAsia="zh-CN"/>
              </w:rPr>
              <w:t>8</w:t>
            </w:r>
            <w:r>
              <w:rPr>
                <w:rFonts w:hint="default" w:ascii="Times New Roman" w:hAnsi="Times New Roman" w:cs="Times New Roman"/>
                <w:color w:val="000000"/>
                <w:kern w:val="0"/>
                <w:szCs w:val="21"/>
                <w:highlight w:val="none"/>
              </w:rPr>
              <w:t>.未</w:t>
            </w:r>
            <w:r>
              <w:rPr>
                <w:rFonts w:ascii="Times New Roman" w:hAnsi="Times New Roman" w:cs="Times New Roman"/>
                <w:color w:val="000000"/>
                <w:kern w:val="0"/>
                <w:szCs w:val="21"/>
                <w:highlight w:val="none"/>
              </w:rPr>
              <w:t>实行网格事件采集主体和处置主体相分离</w:t>
            </w:r>
            <w:r>
              <w:rPr>
                <w:rFonts w:hint="default" w:ascii="Times New Roman" w:hAnsi="Times New Roman" w:cs="Times New Roman"/>
                <w:color w:val="000000"/>
                <w:kern w:val="0"/>
                <w:szCs w:val="21"/>
                <w:highlight w:val="none"/>
              </w:rPr>
              <w:t>的（即</w:t>
            </w:r>
            <w:r>
              <w:rPr>
                <w:rFonts w:ascii="Times New Roman" w:hAnsi="Times New Roman" w:cs="Times New Roman"/>
                <w:color w:val="000000"/>
                <w:kern w:val="0"/>
                <w:szCs w:val="21"/>
                <w:highlight w:val="none"/>
              </w:rPr>
              <w:t>网格员主要负责网格巡查，排查问题隐患、处置轻微消防隐患、上报规定事件。</w:t>
            </w:r>
            <w:r>
              <w:rPr>
                <w:rFonts w:hint="default" w:ascii="Times New Roman" w:hAnsi="Times New Roman" w:cs="Times New Roman"/>
                <w:color w:val="000000"/>
                <w:kern w:val="0"/>
                <w:szCs w:val="21"/>
                <w:highlight w:val="none"/>
              </w:rPr>
              <w:t>镇（</w:t>
            </w:r>
            <w:r>
              <w:rPr>
                <w:rFonts w:ascii="Times New Roman" w:hAnsi="Times New Roman" w:cs="Times New Roman"/>
                <w:color w:val="000000"/>
                <w:kern w:val="0"/>
                <w:szCs w:val="21"/>
                <w:highlight w:val="none"/>
              </w:rPr>
              <w:t>街</w:t>
            </w:r>
            <w:r>
              <w:rPr>
                <w:rFonts w:hint="default" w:ascii="Times New Roman" w:hAnsi="Times New Roman" w:cs="Times New Roman"/>
                <w:color w:val="000000"/>
                <w:kern w:val="0"/>
                <w:szCs w:val="21"/>
                <w:highlight w:val="none"/>
              </w:rPr>
              <w:t>）要</w:t>
            </w:r>
            <w:r>
              <w:rPr>
                <w:rFonts w:ascii="Times New Roman" w:hAnsi="Times New Roman" w:cs="Times New Roman"/>
                <w:color w:val="000000"/>
                <w:kern w:val="0"/>
                <w:szCs w:val="21"/>
                <w:highlight w:val="none"/>
              </w:rPr>
              <w:t>协同各部门强化联合执法，建立常态化和长效化的网格联合执法工作机制</w:t>
            </w:r>
            <w:r>
              <w:rPr>
                <w:rFonts w:hint="default" w:ascii="Times New Roman" w:hAnsi="Times New Roman" w:cs="Times New Roman"/>
                <w:color w:val="000000"/>
                <w:kern w:val="0"/>
                <w:szCs w:val="21"/>
                <w:highlight w:val="none"/>
              </w:rPr>
              <w:t>，及时处置消防安全案事件），扣</w:t>
            </w:r>
            <w:r>
              <w:rPr>
                <w:rFonts w:hint="default" w:ascii="Times New Roman" w:hAnsi="Times New Roman" w:cs="Times New Roman"/>
                <w:color w:val="000000"/>
                <w:kern w:val="0"/>
                <w:szCs w:val="21"/>
                <w:highlight w:val="none"/>
                <w:lang w:val="en-US" w:eastAsia="zh-CN"/>
              </w:rPr>
              <w:t>5</w:t>
            </w:r>
            <w:r>
              <w:rPr>
                <w:rFonts w:hint="default" w:ascii="Times New Roman" w:hAnsi="Times New Roman" w:cs="Times New Roman"/>
                <w:color w:val="000000"/>
                <w:kern w:val="0"/>
                <w:szCs w:val="21"/>
                <w:highlight w:val="none"/>
              </w:rPr>
              <w:t>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结合所有“三小”场所、出租屋评估进行现场核查，发现1家未实行事件采集主体和处置主体相分离的，扣2分，扣完为止。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000000"/>
                <w:kern w:val="0"/>
                <w:sz w:val="24"/>
                <w:highlight w:val="none"/>
              </w:rPr>
            </w:pPr>
          </w:p>
        </w:tc>
        <w:tc>
          <w:tcPr>
            <w:tcW w:w="251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color w:val="000000"/>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lang w:val="en-US" w:eastAsia="zh-CN"/>
              </w:rPr>
              <w:t>9</w:t>
            </w:r>
            <w:r>
              <w:rPr>
                <w:rFonts w:hint="default" w:ascii="Times New Roman" w:hAnsi="Times New Roman" w:cs="Times New Roman"/>
                <w:color w:val="000000"/>
                <w:kern w:val="0"/>
                <w:szCs w:val="21"/>
                <w:highlight w:val="none"/>
              </w:rPr>
              <w:t>.未</w:t>
            </w:r>
            <w:r>
              <w:rPr>
                <w:rFonts w:ascii="Times New Roman" w:hAnsi="Times New Roman" w:cs="Times New Roman"/>
                <w:color w:val="000000"/>
                <w:kern w:val="0"/>
                <w:szCs w:val="21"/>
                <w:highlight w:val="none"/>
              </w:rPr>
              <w:t>将消防安全网格化管理纳入社会</w:t>
            </w:r>
            <w:r>
              <w:rPr>
                <w:rFonts w:hint="default" w:ascii="Times New Roman" w:hAnsi="Times New Roman" w:cs="Times New Roman"/>
                <w:color w:val="000000"/>
                <w:kern w:val="0"/>
                <w:szCs w:val="21"/>
                <w:highlight w:val="none"/>
              </w:rPr>
              <w:t>治安</w:t>
            </w:r>
            <w:r>
              <w:rPr>
                <w:rFonts w:ascii="Times New Roman" w:hAnsi="Times New Roman" w:cs="Times New Roman"/>
                <w:color w:val="000000"/>
                <w:kern w:val="0"/>
                <w:szCs w:val="21"/>
                <w:highlight w:val="none"/>
              </w:rPr>
              <w:t>综合治理检查考评和政务督查内容，建</w:t>
            </w:r>
            <w:r>
              <w:rPr>
                <w:rFonts w:hint="default" w:ascii="Times New Roman" w:hAnsi="Times New Roman" w:cs="Times New Roman"/>
                <w:color w:val="000000"/>
                <w:kern w:val="0"/>
                <w:szCs w:val="21"/>
                <w:highlight w:val="none"/>
              </w:rPr>
              <w:t>立健全考评奖惩工作机制，或未按“三率”（检查任务完成率、隐患发现率、隐患查处率）要求，对职能部门、村（社区）和消防网格员进行考评的，扣10分。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s="Times New Roman"/>
                <w:color w:val="000000"/>
                <w:kern w:val="0"/>
                <w:szCs w:val="21"/>
                <w:highlight w:val="none"/>
              </w:rPr>
            </w:pPr>
            <w:r>
              <w:rPr>
                <w:rFonts w:hint="default" w:ascii="Times New Roman" w:hAnsi="Times New Roman" w:cs="Times New Roman"/>
                <w:color w:val="000000"/>
                <w:kern w:val="0"/>
                <w:szCs w:val="21"/>
                <w:highlight w:val="none"/>
              </w:rPr>
              <w:t>查阅镇（街）、各村（社区）相关文件、通知、考评通报、资料。</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000000"/>
                <w:kern w:val="0"/>
                <w:sz w:val="24"/>
                <w:highlight w:val="none"/>
              </w:rPr>
            </w:pPr>
          </w:p>
        </w:tc>
        <w:tc>
          <w:tcPr>
            <w:tcW w:w="2516"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000000"/>
                <w:highlight w:val="none"/>
              </w:rPr>
            </w:pPr>
            <w:r>
              <w:rPr>
                <w:rFonts w:hint="default" w:ascii="Times New Roman" w:hAnsi="Times New Roman"/>
                <w:color w:val="000000"/>
                <w:highlight w:val="none"/>
              </w:rPr>
              <w:t>2</w:t>
            </w:r>
            <w:r>
              <w:rPr>
                <w:rFonts w:ascii="Times New Roman" w:hAnsi="Times New Roman"/>
                <w:color w:val="000000"/>
                <w:highlight w:val="none"/>
              </w:rPr>
              <w:t>.消防宣传培训（30分）</w:t>
            </w: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olor w:val="000000"/>
                <w:highlight w:val="none"/>
              </w:rPr>
            </w:pPr>
            <w:r>
              <w:rPr>
                <w:rFonts w:hint="default" w:ascii="Times New Roman" w:hAnsi="Times New Roman"/>
                <w:color w:val="000000"/>
                <w:highlight w:val="none"/>
                <w:lang w:val="en-US" w:eastAsia="zh-CN"/>
              </w:rPr>
              <w:t>8</w:t>
            </w:r>
            <w:r>
              <w:rPr>
                <w:rFonts w:ascii="Times New Roman" w:hAnsi="Times New Roman"/>
                <w:color w:val="000000"/>
                <w:highlight w:val="none"/>
              </w:rPr>
              <w:t>.</w:t>
            </w:r>
            <w:r>
              <w:rPr>
                <w:rFonts w:hint="default" w:ascii="Times New Roman" w:hAnsi="Times New Roman"/>
                <w:color w:val="000000"/>
                <w:highlight w:val="none"/>
              </w:rPr>
              <w:t>未设置不少于1处的消防科普体验场所并定期对外开放，或未利用消防宣传车每天开展街面宣传的，扣6分。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color w:val="000000"/>
                <w:highlight w:val="none"/>
              </w:rPr>
            </w:pPr>
            <w:r>
              <w:rPr>
                <w:rFonts w:hint="default" w:ascii="Times New Roman" w:hAnsi="Times New Roman"/>
                <w:color w:val="000000"/>
                <w:highlight w:val="none"/>
              </w:rPr>
              <w:t>查看文件、图片影像档案资料</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000000"/>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000000"/>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Times New Roman" w:hAnsi="Times New Roman"/>
                <w:color w:val="000000"/>
                <w:highlight w:val="none"/>
              </w:rPr>
            </w:pPr>
            <w:r>
              <w:rPr>
                <w:rFonts w:hint="default" w:ascii="Times New Roman" w:hAnsi="Times New Roman"/>
                <w:color w:val="000000"/>
                <w:highlight w:val="none"/>
                <w:lang w:val="en-US" w:eastAsia="zh-CN"/>
              </w:rPr>
              <w:t>9</w:t>
            </w:r>
            <w:r>
              <w:rPr>
                <w:rFonts w:ascii="Times New Roman" w:hAnsi="Times New Roman"/>
                <w:color w:val="000000"/>
                <w:highlight w:val="none"/>
              </w:rPr>
              <w:t>.</w:t>
            </w:r>
            <w:r>
              <w:rPr>
                <w:rFonts w:hint="default" w:ascii="Times New Roman" w:hAnsi="Times New Roman"/>
                <w:color w:val="000000"/>
                <w:highlight w:val="none"/>
              </w:rPr>
              <w:t>未开展消防宣传“五进”活动，未开展以电动自行车火灾预防宣传为主的消防宣传活动，未开展疏散逃生演练、消防安全体验系列宣传活动的，扣6分。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color w:val="000000"/>
                <w:highlight w:val="none"/>
              </w:rPr>
            </w:pPr>
            <w:r>
              <w:rPr>
                <w:rFonts w:hint="default" w:ascii="Times New Roman" w:hAnsi="Times New Roman"/>
                <w:color w:val="000000"/>
                <w:highlight w:val="none"/>
              </w:rPr>
              <w:t>结合所有社会单位场所评估进行现场核查，发现1家未按要求落实的，扣1分，扣完为止。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000000"/>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000000"/>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Times New Roman" w:hAnsi="Times New Roman"/>
                <w:color w:val="000000"/>
                <w:highlight w:val="none"/>
              </w:rPr>
            </w:pPr>
            <w:r>
              <w:rPr>
                <w:rFonts w:hint="default" w:ascii="Times New Roman" w:hAnsi="Times New Roman"/>
                <w:color w:val="000000"/>
                <w:highlight w:val="none"/>
                <w:lang w:val="en-US" w:eastAsia="zh-CN"/>
              </w:rPr>
              <w:t>10</w:t>
            </w:r>
            <w:r>
              <w:rPr>
                <w:rFonts w:ascii="Times New Roman" w:hAnsi="Times New Roman"/>
                <w:color w:val="000000"/>
                <w:highlight w:val="none"/>
              </w:rPr>
              <w:t>.</w:t>
            </w:r>
            <w:r>
              <w:rPr>
                <w:rFonts w:hint="default" w:ascii="Times New Roman" w:hAnsi="Times New Roman"/>
                <w:color w:val="000000"/>
                <w:highlight w:val="none"/>
              </w:rPr>
              <w:t>查看文件、图片影像档案资料，未组织镇级消防“讲师团”走进养老院、福利院、出租屋、幼儿园等开展培训活动的，扣6分。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color w:val="000000"/>
                <w:highlight w:val="none"/>
              </w:rPr>
            </w:pPr>
            <w:r>
              <w:rPr>
                <w:rFonts w:hint="default" w:ascii="Times New Roman" w:hAnsi="Times New Roman"/>
                <w:color w:val="000000"/>
                <w:highlight w:val="none"/>
              </w:rPr>
              <w:t>结合养老院、福利院、出租屋、幼儿园等单位场所评估进行现场核查，发现1家未按要求落实的，扣1分，扣完为止。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000000"/>
                <w:kern w:val="0"/>
                <w:sz w:val="24"/>
                <w:highlight w:val="none"/>
              </w:rPr>
            </w:pPr>
          </w:p>
        </w:tc>
        <w:tc>
          <w:tcPr>
            <w:tcW w:w="2516" w:type="dxa"/>
            <w:vMerge w:val="continue"/>
            <w:tcBorders>
              <w:left w:val="single" w:color="auto" w:sz="4" w:space="0"/>
              <w:right w:val="single" w:color="auto" w:sz="4" w:space="0"/>
            </w:tcBorders>
            <w:noWrap w:val="0"/>
            <w:vAlign w:val="center"/>
          </w:tcPr>
          <w:p>
            <w:pPr>
              <w:adjustRightInd w:val="0"/>
              <w:snapToGrid w:val="0"/>
              <w:spacing w:line="320" w:lineRule="exact"/>
              <w:rPr>
                <w:rFonts w:ascii="Times New Roman" w:hAnsi="Times New Roman"/>
                <w:color w:val="000000"/>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olor w:val="000000"/>
                <w:highlight w:val="none"/>
              </w:rPr>
            </w:pPr>
            <w:r>
              <w:rPr>
                <w:rFonts w:ascii="Times New Roman" w:hAnsi="Times New Roman"/>
                <w:color w:val="000000"/>
                <w:highlight w:val="none"/>
              </w:rPr>
              <w:t>1</w:t>
            </w:r>
            <w:r>
              <w:rPr>
                <w:rFonts w:hint="default" w:ascii="Times New Roman" w:hAnsi="Times New Roman"/>
                <w:color w:val="000000"/>
                <w:highlight w:val="none"/>
                <w:lang w:val="en-US" w:eastAsia="zh-CN"/>
              </w:rPr>
              <w:t>1</w:t>
            </w:r>
            <w:r>
              <w:rPr>
                <w:rFonts w:ascii="Times New Roman" w:hAnsi="Times New Roman"/>
                <w:color w:val="000000"/>
                <w:highlight w:val="none"/>
              </w:rPr>
              <w:t>.</w:t>
            </w:r>
            <w:r>
              <w:rPr>
                <w:rFonts w:hint="default" w:ascii="Times New Roman" w:hAnsi="Times New Roman"/>
                <w:color w:val="000000"/>
                <w:highlight w:val="none"/>
              </w:rPr>
              <w:t>查看文件、图片影像档案资料，在重要节日、重要节点未通过媒体、手机短信、微博微信等发布火灾防范提示的，扣6分</w:t>
            </w:r>
            <w:r>
              <w:rPr>
                <w:rFonts w:ascii="Times New Roman" w:hAnsi="Times New Roman"/>
                <w:color w:val="000000"/>
                <w:highlight w:val="none"/>
              </w:rPr>
              <w:t>。</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highlight w:val="none"/>
              </w:rPr>
            </w:pPr>
            <w:r>
              <w:rPr>
                <w:rFonts w:ascii="Times New Roman" w:hAnsi="Times New Roman"/>
                <w:color w:val="000000"/>
                <w:highlight w:val="none"/>
              </w:rPr>
              <w:t>查看</w:t>
            </w:r>
            <w:r>
              <w:rPr>
                <w:rFonts w:hint="default" w:ascii="Times New Roman" w:hAnsi="Times New Roman"/>
                <w:color w:val="000000"/>
                <w:highlight w:val="none"/>
              </w:rPr>
              <w:t>资料</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628" w:type="dxa"/>
            <w:vMerge w:val="continue"/>
            <w:tcBorders>
              <w:left w:val="single" w:color="auto" w:sz="4" w:space="0"/>
              <w:right w:val="single" w:color="auto" w:sz="4" w:space="0"/>
            </w:tcBorders>
            <w:noWrap w:val="0"/>
            <w:vAlign w:val="center"/>
          </w:tcPr>
          <w:p>
            <w:pPr>
              <w:widowControl/>
              <w:jc w:val="center"/>
              <w:rPr>
                <w:rFonts w:ascii="Times New Roman" w:hAnsi="Times New Roman"/>
                <w:b/>
                <w:color w:val="000000"/>
                <w:kern w:val="0"/>
                <w:sz w:val="24"/>
                <w:highlight w:val="none"/>
              </w:rPr>
            </w:pPr>
          </w:p>
        </w:tc>
        <w:tc>
          <w:tcPr>
            <w:tcW w:w="251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color w:val="000000"/>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olor w:val="000000"/>
                <w:highlight w:val="none"/>
              </w:rPr>
            </w:pPr>
            <w:r>
              <w:rPr>
                <w:rFonts w:hint="default" w:ascii="Times New Roman" w:hAnsi="Times New Roman"/>
                <w:color w:val="000000"/>
                <w:highlight w:val="none"/>
              </w:rPr>
              <w:t>1</w:t>
            </w:r>
            <w:r>
              <w:rPr>
                <w:rFonts w:hint="default" w:ascii="Times New Roman" w:hAnsi="Times New Roman"/>
                <w:color w:val="000000"/>
                <w:highlight w:val="none"/>
                <w:lang w:val="en-US" w:eastAsia="zh-CN"/>
              </w:rPr>
              <w:t>2</w:t>
            </w:r>
            <w:r>
              <w:rPr>
                <w:rFonts w:hint="default" w:ascii="Times New Roman" w:hAnsi="Times New Roman"/>
                <w:color w:val="000000"/>
                <w:highlight w:val="none"/>
              </w:rPr>
              <w:t>.实地抽查电影院、剧院、网吧、宾馆、酒店等社会单位，未开展提示性消防宣传的，扣6分。</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color w:val="000000"/>
                <w:highlight w:val="none"/>
              </w:rPr>
            </w:pPr>
            <w:r>
              <w:rPr>
                <w:rFonts w:hint="default" w:ascii="Times New Roman" w:hAnsi="Times New Roman"/>
                <w:color w:val="000000"/>
                <w:highlight w:val="none"/>
              </w:rPr>
              <w:t>结合电影院、剧院、网吧、宾馆、酒店等单位场所评估进行现场核查，发现1家未按要求落实的，扣1分，扣完为止。</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628" w:type="dxa"/>
            <w:tcBorders>
              <w:left w:val="single" w:color="auto" w:sz="4" w:space="0"/>
              <w:right w:val="single" w:color="auto" w:sz="4" w:space="0"/>
            </w:tcBorders>
            <w:noWrap w:val="0"/>
            <w:vAlign w:val="center"/>
          </w:tcPr>
          <w:p>
            <w:pPr>
              <w:jc w:val="center"/>
              <w:rPr>
                <w:rFonts w:ascii="Times New Roman" w:hAnsi="Times New Roman"/>
                <w:color w:val="000000"/>
                <w:highlight w:val="none"/>
              </w:rPr>
            </w:pPr>
            <w:r>
              <w:rPr>
                <w:rFonts w:hint="default" w:ascii="Times New Roman" w:hAnsi="Times New Roman"/>
                <w:color w:val="000000"/>
                <w:highlight w:val="none"/>
              </w:rPr>
              <w:t>备注</w:t>
            </w:r>
          </w:p>
        </w:tc>
        <w:tc>
          <w:tcPr>
            <w:tcW w:w="11864" w:type="dxa"/>
            <w:gridSpan w:val="3"/>
            <w:tcBorders>
              <w:left w:val="single" w:color="auto" w:sz="4" w:space="0"/>
              <w:right w:val="single" w:color="auto" w:sz="4" w:space="0"/>
            </w:tcBorders>
            <w:noWrap w:val="0"/>
            <w:vAlign w:val="center"/>
          </w:tcPr>
          <w:p>
            <w:pPr>
              <w:rPr>
                <w:rFonts w:ascii="Times New Roman" w:hAnsi="Times New Roman"/>
                <w:color w:val="000000"/>
                <w:highlight w:val="none"/>
              </w:rPr>
            </w:pPr>
            <w:r>
              <w:rPr>
                <w:rFonts w:hint="default" w:ascii="Times New Roman" w:hAnsi="Times New Roman"/>
                <w:color w:val="000000"/>
                <w:highlight w:val="none"/>
              </w:rPr>
              <w:t>重点地区为片区、工业园区、社区的，参照本细则对村（社区）的要求进行评估。</w:t>
            </w:r>
          </w:p>
        </w:tc>
        <w:tc>
          <w:tcPr>
            <w:tcW w:w="7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bCs/>
                <w:color w:val="000000"/>
                <w:highlight w:val="none"/>
              </w:rPr>
            </w:pPr>
          </w:p>
        </w:tc>
      </w:tr>
    </w:tbl>
    <w:p>
      <w:pPr>
        <w:pStyle w:val="4"/>
        <w:spacing w:line="360" w:lineRule="auto"/>
        <w:ind w:firstLine="480" w:firstLineChars="200"/>
        <w:rPr>
          <w:rFonts w:hint="eastAsia" w:asciiTheme="minorEastAsia" w:hAnsiTheme="minorEastAsia" w:eastAsiaTheme="minorEastAsia" w:cstheme="minorEastAsia"/>
          <w:bCs/>
          <w:color w:val="auto"/>
          <w:sz w:val="24"/>
          <w:szCs w:val="24"/>
          <w:highlight w:val="none"/>
        </w:rPr>
        <w:sectPr>
          <w:pgSz w:w="16838" w:h="11906" w:orient="landscape"/>
          <w:pgMar w:top="1587" w:right="1134" w:bottom="1134" w:left="1134" w:header="567" w:footer="737" w:gutter="0"/>
          <w:pgNumType w:fmt="decimal"/>
          <w:cols w:space="0" w:num="1"/>
          <w:rtlGutter w:val="0"/>
          <w:docGrid w:linePitch="312" w:charSpace="0"/>
        </w:sectPr>
      </w:pPr>
    </w:p>
    <w:p>
      <w:pPr>
        <w:pStyle w:val="7"/>
        <w:pageBreakBefore/>
        <w:spacing w:line="480" w:lineRule="auto"/>
        <w:ind w:left="0" w:firstLine="0"/>
        <w:rPr>
          <w:rFonts w:hint="eastAsia" w:asciiTheme="minorEastAsia" w:hAnsiTheme="minorEastAsia" w:eastAsiaTheme="minorEastAsia" w:cstheme="minorEastAsia"/>
          <w:b w:val="0"/>
          <w:bCs/>
          <w:color w:val="auto"/>
          <w:highlight w:val="none"/>
        </w:rPr>
        <w:sectPr>
          <w:headerReference r:id="rId14" w:type="default"/>
          <w:footerReference r:id="rId15" w:type="default"/>
          <w:pgSz w:w="11906" w:h="16838"/>
          <w:pgMar w:top="1134" w:right="1134" w:bottom="1134" w:left="1587" w:header="567" w:footer="737" w:gutter="0"/>
          <w:pgNumType w:fmt="decimal"/>
          <w:cols w:space="720" w:num="1"/>
          <w:docGrid w:linePitch="312" w:charSpace="0"/>
        </w:sectPr>
      </w:pPr>
      <w:bookmarkStart w:id="50" w:name="_Toc10048"/>
      <w:bookmarkStart w:id="51" w:name="_Toc31972"/>
      <w:bookmarkStart w:id="52" w:name="_Toc525312042"/>
      <w:bookmarkStart w:id="53" w:name="_Toc12363"/>
      <w:bookmarkStart w:id="54" w:name="_Toc32236"/>
      <w:bookmarkStart w:id="55" w:name="_Toc23272"/>
      <w:r>
        <w:rPr>
          <w:rFonts w:hint="eastAsia" w:asciiTheme="minorEastAsia" w:hAnsiTheme="minorEastAsia" w:eastAsiaTheme="minorEastAsia" w:cstheme="minorEastAsia"/>
          <w:b w:val="0"/>
          <w:bCs/>
          <w:color w:val="auto"/>
          <w:highlight w:val="none"/>
        </w:rPr>
        <w:t>第三部分   供应商须知</w:t>
      </w:r>
      <w:bookmarkEnd w:id="37"/>
      <w:bookmarkEnd w:id="38"/>
      <w:bookmarkEnd w:id="39"/>
      <w:bookmarkEnd w:id="40"/>
      <w:bookmarkEnd w:id="41"/>
      <w:bookmarkEnd w:id="42"/>
      <w:bookmarkEnd w:id="43"/>
      <w:bookmarkEnd w:id="44"/>
      <w:bookmarkEnd w:id="50"/>
      <w:bookmarkEnd w:id="51"/>
      <w:bookmarkEnd w:id="52"/>
      <w:bookmarkEnd w:id="53"/>
      <w:bookmarkEnd w:id="54"/>
      <w:bookmarkEnd w:id="55"/>
    </w:p>
    <w:p>
      <w:pPr>
        <w:pageBreakBefore/>
        <w:jc w:val="center"/>
        <w:rPr>
          <w:rFonts w:hint="eastAsia" w:asciiTheme="minorEastAsia" w:hAnsiTheme="minorEastAsia" w:eastAsiaTheme="minorEastAsia" w:cstheme="minorEastAsia"/>
          <w:b/>
          <w:bCs/>
          <w:color w:val="auto"/>
          <w:sz w:val="32"/>
          <w:highlight w:val="none"/>
        </w:rPr>
      </w:pPr>
      <w:bookmarkStart w:id="56" w:name="_Toc55812443"/>
      <w:bookmarkStart w:id="57" w:name="_Toc49329252"/>
      <w:r>
        <w:rPr>
          <w:rFonts w:hint="eastAsia" w:asciiTheme="minorEastAsia" w:hAnsiTheme="minorEastAsia" w:eastAsiaTheme="minorEastAsia" w:cstheme="minorEastAsia"/>
          <w:b/>
          <w:bCs/>
          <w:color w:val="auto"/>
          <w:sz w:val="32"/>
          <w:highlight w:val="none"/>
        </w:rPr>
        <w:t>重要须知事项前置表</w:t>
      </w:r>
      <w:bookmarkEnd w:id="56"/>
      <w:bookmarkEnd w:id="5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720" w:type="dxa"/>
            <w:shd w:val="clear" w:color="auto" w:fill="E6E6E6"/>
            <w:noWrap w:val="0"/>
            <w:vAlign w:val="center"/>
          </w:tcPr>
          <w:p>
            <w:pPr>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2160" w:type="dxa"/>
            <w:shd w:val="clear" w:color="auto" w:fill="E6E6E6"/>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c>
          <w:tcPr>
            <w:tcW w:w="6660" w:type="dxa"/>
            <w:shd w:val="clear" w:color="auto" w:fill="E6E6E6"/>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20" w:type="dxa"/>
            <w:noWrap w:val="0"/>
            <w:vAlign w:val="center"/>
          </w:tcPr>
          <w:p>
            <w:pPr>
              <w:numPr>
                <w:ilvl w:val="0"/>
                <w:numId w:val="9"/>
              </w:numPr>
              <w:tabs>
                <w:tab w:val="left" w:pos="252"/>
                <w:tab w:val="clear" w:pos="420"/>
              </w:tabs>
              <w:spacing w:line="360" w:lineRule="auto"/>
              <w:ind w:right="-107" w:rightChars="-51"/>
              <w:jc w:val="center"/>
              <w:rPr>
                <w:rFonts w:hint="eastAsia" w:asciiTheme="minorEastAsia" w:hAnsiTheme="minorEastAsia" w:eastAsiaTheme="minorEastAsia" w:cstheme="minorEastAsia"/>
                <w:color w:val="auto"/>
                <w:sz w:val="24"/>
                <w:szCs w:val="24"/>
                <w:highlight w:val="none"/>
              </w:rPr>
            </w:pPr>
          </w:p>
        </w:tc>
        <w:tc>
          <w:tcPr>
            <w:tcW w:w="21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w:t>
            </w:r>
          </w:p>
        </w:tc>
        <w:tc>
          <w:tcPr>
            <w:tcW w:w="6660" w:type="dxa"/>
            <w:noWrap w:val="0"/>
            <w:vAlign w:val="center"/>
          </w:tcPr>
          <w:p>
            <w:pPr>
              <w:numPr>
                <w:ilvl w:val="0"/>
                <w:numId w:val="10"/>
              </w:numPr>
              <w:spacing w:line="360" w:lineRule="auto"/>
              <w:rPr>
                <w:rFonts w:hint="eastAsia" w:asciiTheme="minorEastAsia" w:hAnsiTheme="minorEastAsia" w:eastAsiaTheme="minorEastAsia" w:cstheme="minorEastAsia"/>
                <w:color w:val="auto"/>
                <w:spacing w:val="-8"/>
                <w:sz w:val="24"/>
                <w:highlight w:val="none"/>
              </w:rPr>
            </w:pPr>
            <w:r>
              <w:rPr>
                <w:rFonts w:hint="eastAsia" w:asciiTheme="minorEastAsia" w:hAnsiTheme="minorEastAsia" w:eastAsiaTheme="minorEastAsia" w:cstheme="minorEastAsia"/>
                <w:color w:val="auto"/>
                <w:spacing w:val="-8"/>
                <w:sz w:val="24"/>
                <w:highlight w:val="none"/>
                <w:lang w:eastAsia="zh-CN"/>
              </w:rPr>
              <w:t>磋商</w:t>
            </w:r>
            <w:r>
              <w:rPr>
                <w:rFonts w:hint="eastAsia" w:asciiTheme="minorEastAsia" w:hAnsiTheme="minorEastAsia" w:eastAsiaTheme="minorEastAsia" w:cstheme="minorEastAsia"/>
                <w:color w:val="auto"/>
                <w:spacing w:val="-8"/>
                <w:sz w:val="24"/>
                <w:highlight w:val="none"/>
              </w:rPr>
              <w:t>保证金金额，小写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10000</w:t>
            </w:r>
            <w:r>
              <w:rPr>
                <w:rFonts w:hint="eastAsia" w:asciiTheme="minorEastAsia" w:hAnsiTheme="minorEastAsia" w:eastAsiaTheme="minorEastAsia" w:cstheme="minorEastAsia"/>
                <w:color w:val="auto"/>
                <w:sz w:val="24"/>
                <w:highlight w:val="none"/>
              </w:rPr>
              <w:t>.00元（大写：</w:t>
            </w:r>
            <w:r>
              <w:rPr>
                <w:rFonts w:hint="eastAsia" w:asciiTheme="minorEastAsia" w:hAnsiTheme="minorEastAsia" w:eastAsiaTheme="minorEastAsia" w:cstheme="minorEastAsia"/>
                <w:color w:val="auto"/>
                <w:sz w:val="24"/>
                <w:highlight w:val="none"/>
                <w:lang w:eastAsia="zh-CN"/>
              </w:rPr>
              <w:t>壹万元整</w:t>
            </w:r>
            <w:r>
              <w:rPr>
                <w:rFonts w:hint="eastAsia" w:asciiTheme="minorEastAsia" w:hAnsiTheme="minorEastAsia" w:eastAsiaTheme="minorEastAsia" w:cstheme="minorEastAsia"/>
                <w:color w:val="auto"/>
                <w:sz w:val="24"/>
                <w:highlight w:val="none"/>
              </w:rPr>
              <w:t xml:space="preserve"> ）</w:t>
            </w:r>
          </w:p>
          <w:p>
            <w:pPr>
              <w:numPr>
                <w:ilvl w:val="0"/>
                <w:numId w:val="10"/>
              </w:num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保证金缴纳截止时间：</w:t>
            </w:r>
            <w:r>
              <w:rPr>
                <w:rFonts w:hint="eastAsia" w:asciiTheme="minorEastAsia" w:hAnsiTheme="minorEastAsia" w:eastAsiaTheme="minorEastAsia" w:cstheme="minorEastAsia"/>
                <w:color w:val="auto"/>
                <w:sz w:val="24"/>
                <w:highlight w:val="none"/>
                <w:u w:val="single"/>
                <w:lang w:eastAsia="zh-CN"/>
              </w:rPr>
              <w:t>磋商</w:t>
            </w:r>
            <w:r>
              <w:rPr>
                <w:rFonts w:hint="eastAsia" w:asciiTheme="minorEastAsia" w:hAnsiTheme="minorEastAsia" w:eastAsiaTheme="minorEastAsia" w:cstheme="minorEastAsia"/>
                <w:color w:val="auto"/>
                <w:sz w:val="24"/>
                <w:highlight w:val="none"/>
                <w:u w:val="single"/>
              </w:rPr>
              <w:t>文件递交截止时间。</w:t>
            </w:r>
          </w:p>
          <w:p>
            <w:pPr>
              <w:numPr>
                <w:ilvl w:val="0"/>
                <w:numId w:val="10"/>
              </w:numPr>
              <w:spacing w:line="360" w:lineRule="auto"/>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eastAsia="zh-CN"/>
              </w:rPr>
              <w:t>磋商</w:t>
            </w:r>
            <w:r>
              <w:rPr>
                <w:rFonts w:hint="eastAsia" w:asciiTheme="minorEastAsia" w:hAnsiTheme="minorEastAsia" w:eastAsiaTheme="minorEastAsia" w:cstheme="minorEastAsia"/>
                <w:bCs/>
                <w:color w:val="auto"/>
                <w:sz w:val="24"/>
                <w:highlight w:val="none"/>
              </w:rPr>
              <w:t>（交易）保证金方式：银行转账、电汇、支票或保函方式交纳（不接纳现金交纳，保证金须以本项目投标人的名义汇入）</w:t>
            </w:r>
          </w:p>
          <w:p>
            <w:pPr>
              <w:numPr>
                <w:ilvl w:val="0"/>
                <w:numId w:val="10"/>
              </w:num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磋商</w:t>
            </w:r>
            <w:r>
              <w:rPr>
                <w:rFonts w:hint="eastAsia" w:asciiTheme="minorEastAsia" w:hAnsiTheme="minorEastAsia" w:eastAsiaTheme="minorEastAsia" w:cstheme="minorEastAsia"/>
                <w:bCs/>
                <w:color w:val="auto"/>
                <w:sz w:val="24"/>
                <w:highlight w:val="none"/>
              </w:rPr>
              <w:t>（交易）保证金账户：</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收 款 人：广东远东招标代理有限公司佛山分公司</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开户银行：广东南粤银行佛山分行</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银行帐号：930001230900012220</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w:t>
            </w:r>
          </w:p>
          <w:p>
            <w:pPr>
              <w:spacing w:line="360" w:lineRule="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1、以款项到帐银行的时间为准，如果超出限定时间到帐，作自动放弃</w:t>
            </w:r>
            <w:r>
              <w:rPr>
                <w:rFonts w:hint="eastAsia" w:asciiTheme="minorEastAsia" w:hAnsiTheme="minorEastAsia" w:eastAsiaTheme="minorEastAsia" w:cstheme="minorEastAsia"/>
                <w:b w:val="0"/>
                <w:bCs/>
                <w:color w:val="auto"/>
                <w:sz w:val="24"/>
                <w:highlight w:val="none"/>
                <w:lang w:eastAsia="zh-CN"/>
              </w:rPr>
              <w:t>磋商</w:t>
            </w:r>
            <w:r>
              <w:rPr>
                <w:rFonts w:hint="eastAsia" w:asciiTheme="minorEastAsia" w:hAnsiTheme="minorEastAsia" w:eastAsiaTheme="minorEastAsia" w:cstheme="minorEastAsia"/>
                <w:b w:val="0"/>
                <w:bCs/>
                <w:color w:val="auto"/>
                <w:sz w:val="24"/>
                <w:highlight w:val="none"/>
              </w:rPr>
              <w:t>处理。</w:t>
            </w:r>
          </w:p>
          <w:p>
            <w:pPr>
              <w:spacing w:line="360" w:lineRule="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2、在办理转账时，请在转账摘要上注明“火灾高风险区域整治工作”字样，便于银行退款。</w:t>
            </w:r>
          </w:p>
          <w:p>
            <w:pPr>
              <w:spacing w:line="360" w:lineRule="auto"/>
              <w:rPr>
                <w:rFonts w:hint="eastAsia"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u w:val="none"/>
                <w:lang w:val="en-US" w:eastAsia="zh-CN"/>
              </w:rPr>
              <w:t>3、供应商名称必须与保证金汇出单位名称一致，否则采购代理机构有权拒绝接收其响应文件。</w:t>
            </w:r>
          </w:p>
          <w:p>
            <w:pPr>
              <w:spacing w:line="360" w:lineRule="auto"/>
              <w:rPr>
                <w:rFonts w:hint="eastAsia" w:asciiTheme="minorEastAsia" w:hAnsiTheme="minorEastAsia" w:eastAsiaTheme="minorEastAsia" w:cstheme="minorEastAsia"/>
                <w:b/>
                <w:color w:val="auto"/>
                <w:kern w:val="2"/>
                <w:sz w:val="24"/>
                <w:szCs w:val="22"/>
                <w:highlight w:val="none"/>
                <w:lang w:val="en-US" w:eastAsia="zh-CN" w:bidi="ar-SA"/>
              </w:rPr>
            </w:pPr>
            <w:r>
              <w:rPr>
                <w:rFonts w:hint="eastAsia" w:asciiTheme="minorEastAsia" w:hAnsiTheme="minorEastAsia" w:eastAsiaTheme="minorEastAsia" w:cstheme="minorEastAsia"/>
                <w:b/>
                <w:color w:val="auto"/>
                <w:sz w:val="24"/>
                <w:szCs w:val="24"/>
                <w:highlight w:val="none"/>
                <w:u w:val="none"/>
                <w:lang w:val="en-US" w:eastAsia="zh-CN"/>
              </w:rPr>
              <w:t>（温馨提示：周末银行一般不办理对公业务，请提前办理）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720" w:type="dxa"/>
            <w:noWrap w:val="0"/>
            <w:vAlign w:val="center"/>
          </w:tcPr>
          <w:p>
            <w:pPr>
              <w:numPr>
                <w:ilvl w:val="0"/>
                <w:numId w:val="9"/>
              </w:numPr>
              <w:tabs>
                <w:tab w:val="left" w:pos="252"/>
                <w:tab w:val="clear" w:pos="420"/>
              </w:tabs>
              <w:spacing w:line="360" w:lineRule="auto"/>
              <w:ind w:right="-107" w:rightChars="-51"/>
              <w:jc w:val="center"/>
              <w:rPr>
                <w:rFonts w:hint="eastAsia" w:asciiTheme="minorEastAsia" w:hAnsiTheme="minorEastAsia" w:eastAsiaTheme="minorEastAsia" w:cstheme="minorEastAsia"/>
                <w:color w:val="auto"/>
                <w:sz w:val="24"/>
                <w:szCs w:val="24"/>
                <w:highlight w:val="none"/>
              </w:rPr>
            </w:pPr>
          </w:p>
        </w:tc>
        <w:tc>
          <w:tcPr>
            <w:tcW w:w="21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响应文件的递交</w:t>
            </w:r>
          </w:p>
        </w:tc>
        <w:tc>
          <w:tcPr>
            <w:tcW w:w="6660"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供应商应凭以下资料递交响应文件（加盖供应商公章），否则，采购代理机构将有权拒收：</w:t>
            </w:r>
          </w:p>
          <w:p>
            <w:pPr>
              <w:numPr>
                <w:ilvl w:val="0"/>
                <w:numId w:val="11"/>
              </w:numPr>
              <w:tabs>
                <w:tab w:val="left" w:pos="567"/>
              </w:tabs>
              <w:spacing w:line="360" w:lineRule="auto"/>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法定代表人/负责人资格证明书 原件；</w:t>
            </w:r>
          </w:p>
          <w:p>
            <w:pPr>
              <w:numPr>
                <w:ilvl w:val="0"/>
                <w:numId w:val="11"/>
              </w:numPr>
              <w:tabs>
                <w:tab w:val="left" w:pos="567"/>
              </w:tabs>
              <w:spacing w:line="360" w:lineRule="auto"/>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法定代表人/负责人授权书原件【若法定代表人亲临现场参与投标的，则不须提供】；</w:t>
            </w:r>
          </w:p>
          <w:p>
            <w:pPr>
              <w:numPr>
                <w:ilvl w:val="0"/>
                <w:numId w:val="11"/>
              </w:numPr>
              <w:tabs>
                <w:tab w:val="left" w:pos="567"/>
              </w:tabs>
              <w:spacing w:line="360" w:lineRule="auto"/>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法定代表人/负责人或授权代表本人身份证 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720" w:type="dxa"/>
            <w:noWrap w:val="0"/>
            <w:vAlign w:val="center"/>
          </w:tcPr>
          <w:p>
            <w:pPr>
              <w:numPr>
                <w:ilvl w:val="0"/>
                <w:numId w:val="9"/>
              </w:numPr>
              <w:tabs>
                <w:tab w:val="left" w:pos="252"/>
                <w:tab w:val="clear" w:pos="420"/>
              </w:tabs>
              <w:spacing w:line="360" w:lineRule="auto"/>
              <w:ind w:right="-107" w:rightChars="-51"/>
              <w:jc w:val="center"/>
              <w:rPr>
                <w:rFonts w:hint="eastAsia" w:asciiTheme="minorEastAsia" w:hAnsiTheme="minorEastAsia" w:eastAsiaTheme="minorEastAsia" w:cstheme="minorEastAsia"/>
                <w:color w:val="auto"/>
                <w:sz w:val="24"/>
                <w:szCs w:val="24"/>
                <w:highlight w:val="none"/>
              </w:rPr>
            </w:pPr>
          </w:p>
        </w:tc>
        <w:tc>
          <w:tcPr>
            <w:tcW w:w="21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响应文件递交数量</w:t>
            </w:r>
          </w:p>
        </w:tc>
        <w:tc>
          <w:tcPr>
            <w:tcW w:w="6660" w:type="dxa"/>
            <w:noWrap w:val="0"/>
            <w:vAlign w:val="center"/>
          </w:tcPr>
          <w:p>
            <w:pPr>
              <w:numPr>
                <w:ilvl w:val="0"/>
                <w:numId w:val="12"/>
              </w:numPr>
              <w:tabs>
                <w:tab w:val="left" w:pos="432"/>
                <w:tab w:val="clear" w:pos="840"/>
              </w:tabs>
              <w:spacing w:line="360" w:lineRule="auto"/>
              <w:ind w:left="431" w:hanging="431"/>
              <w:jc w:val="left"/>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《响应文件》</w:t>
            </w:r>
            <w:r>
              <w:rPr>
                <w:rFonts w:hint="eastAsia" w:asciiTheme="minorEastAsia" w:hAnsiTheme="minorEastAsia" w:eastAsiaTheme="minorEastAsia" w:cstheme="minorEastAsia"/>
                <w:color w:val="auto"/>
                <w:sz w:val="24"/>
                <w:szCs w:val="24"/>
                <w:highlight w:val="none"/>
                <w:lang w:val="en-GB"/>
              </w:rPr>
              <w:t>密封包：一份【内含《响应文件》1份正本和</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GB"/>
              </w:rPr>
              <w:t>份副本】；</w:t>
            </w:r>
          </w:p>
          <w:p>
            <w:pPr>
              <w:numPr>
                <w:ilvl w:val="0"/>
                <w:numId w:val="12"/>
              </w:numPr>
              <w:tabs>
                <w:tab w:val="left" w:pos="432"/>
                <w:tab w:val="clear" w:pos="840"/>
              </w:tabs>
              <w:spacing w:line="360" w:lineRule="auto"/>
              <w:ind w:left="431" w:hanging="431"/>
              <w:jc w:val="left"/>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唱标信封</w:t>
            </w:r>
            <w:r>
              <w:rPr>
                <w:rFonts w:hint="eastAsia" w:asciiTheme="minorEastAsia" w:hAnsiTheme="minorEastAsia" w:eastAsiaTheme="minorEastAsia" w:cstheme="minorEastAsia"/>
                <w:color w:val="auto"/>
                <w:sz w:val="24"/>
                <w:szCs w:val="24"/>
                <w:highlight w:val="none"/>
                <w:lang w:val="en-GB"/>
              </w:rPr>
              <w:t>密封包：一份【内含《报价汇总表》原件1份，《磋商保证金退付书》原件或保函复印件（加盖公章）1份，响应文件电子光盘</w:t>
            </w:r>
            <w:r>
              <w:rPr>
                <w:rFonts w:hint="eastAsia" w:asciiTheme="minorEastAsia" w:hAnsiTheme="minorEastAsia" w:eastAsiaTheme="minorEastAsia" w:cstheme="minorEastAsia"/>
                <w:color w:val="auto"/>
                <w:sz w:val="24"/>
                <w:szCs w:val="24"/>
                <w:highlight w:val="none"/>
              </w:rPr>
              <w:t>/U盘</w:t>
            </w:r>
            <w:r>
              <w:rPr>
                <w:rFonts w:hint="eastAsia" w:asciiTheme="minorEastAsia" w:hAnsiTheme="minorEastAsia" w:eastAsiaTheme="minorEastAsia" w:cstheme="minorEastAsia"/>
                <w:color w:val="auto"/>
                <w:sz w:val="24"/>
                <w:szCs w:val="24"/>
                <w:highlight w:val="none"/>
                <w:lang w:val="en-GB"/>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jc w:val="center"/>
        </w:trPr>
        <w:tc>
          <w:tcPr>
            <w:tcW w:w="720" w:type="dxa"/>
            <w:noWrap w:val="0"/>
            <w:vAlign w:val="center"/>
          </w:tcPr>
          <w:p>
            <w:pPr>
              <w:numPr>
                <w:ilvl w:val="0"/>
                <w:numId w:val="9"/>
              </w:numPr>
              <w:tabs>
                <w:tab w:val="left" w:pos="252"/>
                <w:tab w:val="clear" w:pos="420"/>
              </w:tabs>
              <w:spacing w:line="360" w:lineRule="auto"/>
              <w:ind w:right="-107" w:rightChars="-51"/>
              <w:jc w:val="center"/>
              <w:rPr>
                <w:rFonts w:hint="eastAsia" w:asciiTheme="minorEastAsia" w:hAnsiTheme="minorEastAsia" w:eastAsiaTheme="minorEastAsia" w:cstheme="minorEastAsia"/>
                <w:color w:val="auto"/>
                <w:sz w:val="24"/>
                <w:szCs w:val="24"/>
                <w:highlight w:val="none"/>
              </w:rPr>
            </w:pPr>
          </w:p>
        </w:tc>
        <w:tc>
          <w:tcPr>
            <w:tcW w:w="21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响应文件的制作要求及密封要求</w:t>
            </w:r>
          </w:p>
        </w:tc>
        <w:tc>
          <w:tcPr>
            <w:tcW w:w="6660" w:type="dxa"/>
            <w:noWrap w:val="0"/>
            <w:vAlign w:val="center"/>
          </w:tcPr>
          <w:p>
            <w:pPr>
              <w:numPr>
                <w:ilvl w:val="0"/>
                <w:numId w:val="13"/>
              </w:numPr>
              <w:spacing w:line="360" w:lineRule="auto"/>
              <w:jc w:val="left"/>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《响应文件》由资格性文件、评审内容索引、商务部分、技术部分及其他文件共五部分组成，并将上述五部分内容装订为一册。</w:t>
            </w:r>
          </w:p>
          <w:p>
            <w:pPr>
              <w:numPr>
                <w:ilvl w:val="0"/>
                <w:numId w:val="13"/>
              </w:numPr>
              <w:spacing w:line="360" w:lineRule="auto"/>
              <w:jc w:val="left"/>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《响应文件》的【正本】及所有【副本】的</w:t>
            </w:r>
            <w:r>
              <w:rPr>
                <w:rFonts w:hint="eastAsia" w:asciiTheme="minorEastAsia" w:hAnsiTheme="minorEastAsia" w:eastAsiaTheme="minorEastAsia" w:cstheme="minorEastAsia"/>
                <w:b/>
                <w:color w:val="auto"/>
                <w:sz w:val="24"/>
                <w:szCs w:val="24"/>
                <w:highlight w:val="none"/>
                <w:lang w:val="en-GB"/>
              </w:rPr>
              <w:t>封面及骑缝</w:t>
            </w:r>
            <w:r>
              <w:rPr>
                <w:rFonts w:hint="eastAsia" w:asciiTheme="minorEastAsia" w:hAnsiTheme="minorEastAsia" w:eastAsiaTheme="minorEastAsia" w:cstheme="minorEastAsia"/>
                <w:color w:val="auto"/>
                <w:sz w:val="24"/>
                <w:szCs w:val="24"/>
                <w:highlight w:val="none"/>
                <w:lang w:val="en-GB"/>
              </w:rPr>
              <w:t>均须加盖供应商公章。</w:t>
            </w:r>
          </w:p>
          <w:p>
            <w:pPr>
              <w:numPr>
                <w:ilvl w:val="0"/>
                <w:numId w:val="13"/>
              </w:numPr>
              <w:spacing w:line="360" w:lineRule="auto"/>
              <w:jc w:val="left"/>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唱标信封必须与响应文件【正、副本】</w:t>
            </w:r>
            <w:r>
              <w:rPr>
                <w:rFonts w:hint="eastAsia" w:asciiTheme="minorEastAsia" w:hAnsiTheme="minorEastAsia" w:eastAsiaTheme="minorEastAsia" w:cstheme="minorEastAsia"/>
                <w:b/>
                <w:color w:val="auto"/>
                <w:sz w:val="24"/>
                <w:szCs w:val="24"/>
                <w:highlight w:val="none"/>
                <w:u w:val="single"/>
                <w:lang w:val="en-GB"/>
              </w:rPr>
              <w:t>分开单独密封</w:t>
            </w:r>
            <w:r>
              <w:rPr>
                <w:rFonts w:hint="eastAsia" w:asciiTheme="minorEastAsia" w:hAnsiTheme="minorEastAsia" w:eastAsiaTheme="minorEastAsia" w:cstheme="minorEastAsia"/>
                <w:b/>
                <w:color w:val="auto"/>
                <w:sz w:val="24"/>
                <w:szCs w:val="24"/>
                <w:highlight w:val="none"/>
                <w:lang w:val="en-GB"/>
              </w:rPr>
              <w:t>，并应在规定时间内同时递交，每份密封文件应</w:t>
            </w:r>
            <w:r>
              <w:rPr>
                <w:rFonts w:hint="eastAsia" w:asciiTheme="minorEastAsia" w:hAnsiTheme="minorEastAsia" w:eastAsiaTheme="minorEastAsia" w:cstheme="minorEastAsia"/>
                <w:b/>
                <w:color w:val="auto"/>
                <w:sz w:val="24"/>
                <w:szCs w:val="24"/>
                <w:highlight w:val="none"/>
                <w:u w:val="single"/>
                <w:lang w:val="en-GB"/>
              </w:rPr>
              <w:t>在封口</w:t>
            </w:r>
            <w:r>
              <w:rPr>
                <w:rFonts w:hint="eastAsia" w:asciiTheme="minorEastAsia" w:hAnsiTheme="minorEastAsia" w:eastAsiaTheme="minorEastAsia" w:cstheme="minorEastAsia"/>
                <w:b/>
                <w:color w:val="auto"/>
                <w:sz w:val="24"/>
                <w:szCs w:val="24"/>
                <w:highlight w:val="none"/>
                <w:lang w:val="en-GB"/>
              </w:rPr>
              <w:t>处加盖供应商公章。“电子文档”（光盘</w:t>
            </w:r>
            <w:r>
              <w:rPr>
                <w:rFonts w:hint="eastAsia" w:asciiTheme="minorEastAsia" w:hAnsiTheme="minorEastAsia" w:eastAsiaTheme="minorEastAsia" w:cstheme="minorEastAsia"/>
                <w:b/>
                <w:color w:val="auto"/>
                <w:sz w:val="24"/>
                <w:szCs w:val="24"/>
                <w:highlight w:val="none"/>
              </w:rPr>
              <w:t>/U盘</w:t>
            </w:r>
            <w:r>
              <w:rPr>
                <w:rFonts w:hint="eastAsia" w:asciiTheme="minorEastAsia" w:hAnsiTheme="minorEastAsia" w:eastAsiaTheme="minorEastAsia" w:cstheme="minorEastAsia"/>
                <w:b/>
                <w:color w:val="auto"/>
                <w:sz w:val="24"/>
                <w:szCs w:val="24"/>
                <w:highlight w:val="none"/>
                <w:lang w:val="en-GB"/>
              </w:rPr>
              <w:t>）表面须标明供应商名称，密封于唱标信封之内。</w:t>
            </w:r>
          </w:p>
          <w:p>
            <w:pPr>
              <w:numPr>
                <w:ilvl w:val="0"/>
                <w:numId w:val="13"/>
              </w:numPr>
              <w:spacing w:line="360" w:lineRule="auto"/>
              <w:jc w:val="left"/>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0" w:type="dxa"/>
            <w:noWrap w:val="0"/>
            <w:vAlign w:val="center"/>
          </w:tcPr>
          <w:p>
            <w:pPr>
              <w:numPr>
                <w:ilvl w:val="0"/>
                <w:numId w:val="9"/>
              </w:numPr>
              <w:tabs>
                <w:tab w:val="left" w:pos="252"/>
                <w:tab w:val="clear" w:pos="420"/>
              </w:tabs>
              <w:spacing w:line="360" w:lineRule="auto"/>
              <w:ind w:right="-107" w:rightChars="-51"/>
              <w:jc w:val="center"/>
              <w:rPr>
                <w:rFonts w:hint="eastAsia" w:asciiTheme="minorEastAsia" w:hAnsiTheme="minorEastAsia" w:eastAsiaTheme="minorEastAsia" w:cstheme="minorEastAsia"/>
                <w:color w:val="auto"/>
                <w:sz w:val="24"/>
                <w:szCs w:val="24"/>
                <w:highlight w:val="none"/>
              </w:rPr>
            </w:pPr>
          </w:p>
        </w:tc>
        <w:tc>
          <w:tcPr>
            <w:tcW w:w="21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66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递交响应文件截止日后90天内有效，</w:t>
            </w:r>
          </w:p>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中标（成交）供应商的有效期延续到项目服务期满之日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9"/>
              </w:numPr>
              <w:tabs>
                <w:tab w:val="left" w:pos="252"/>
                <w:tab w:val="clear" w:pos="420"/>
              </w:tabs>
              <w:spacing w:line="360" w:lineRule="auto"/>
              <w:ind w:right="-107" w:rightChars="-51"/>
              <w:jc w:val="center"/>
              <w:rPr>
                <w:rFonts w:hint="eastAsia" w:asciiTheme="minorEastAsia" w:hAnsiTheme="minorEastAsia" w:eastAsiaTheme="minorEastAsia" w:cstheme="minorEastAsia"/>
                <w:color w:val="auto"/>
                <w:sz w:val="24"/>
                <w:szCs w:val="24"/>
                <w:highlight w:val="none"/>
              </w:rPr>
            </w:pPr>
          </w:p>
        </w:tc>
        <w:tc>
          <w:tcPr>
            <w:tcW w:w="21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66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noWrap w:val="0"/>
            <w:vAlign w:val="center"/>
          </w:tcPr>
          <w:p>
            <w:pPr>
              <w:numPr>
                <w:ilvl w:val="0"/>
                <w:numId w:val="9"/>
              </w:numPr>
              <w:tabs>
                <w:tab w:val="left" w:pos="252"/>
                <w:tab w:val="clear" w:pos="420"/>
              </w:tabs>
              <w:spacing w:line="360" w:lineRule="auto"/>
              <w:ind w:right="-107" w:rightChars="-51"/>
              <w:jc w:val="center"/>
              <w:rPr>
                <w:rFonts w:hint="eastAsia" w:asciiTheme="minorEastAsia" w:hAnsiTheme="minorEastAsia" w:eastAsiaTheme="minorEastAsia" w:cstheme="minorEastAsia"/>
                <w:color w:val="auto"/>
                <w:sz w:val="24"/>
                <w:szCs w:val="24"/>
                <w:highlight w:val="none"/>
              </w:rPr>
            </w:pPr>
          </w:p>
        </w:tc>
        <w:tc>
          <w:tcPr>
            <w:tcW w:w="21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成交资格的确认</w:t>
            </w:r>
          </w:p>
        </w:tc>
        <w:tc>
          <w:tcPr>
            <w:tcW w:w="66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中标（成交）供应商数量：1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0" w:type="dxa"/>
            <w:noWrap w:val="0"/>
            <w:vAlign w:val="center"/>
          </w:tcPr>
          <w:p>
            <w:pPr>
              <w:numPr>
                <w:ilvl w:val="0"/>
                <w:numId w:val="9"/>
              </w:numPr>
              <w:tabs>
                <w:tab w:val="left" w:pos="252"/>
                <w:tab w:val="clear" w:pos="420"/>
              </w:tabs>
              <w:spacing w:line="360" w:lineRule="auto"/>
              <w:ind w:right="-107" w:rightChars="-51"/>
              <w:jc w:val="center"/>
              <w:rPr>
                <w:rFonts w:hint="eastAsia" w:asciiTheme="minorEastAsia" w:hAnsiTheme="minorEastAsia" w:eastAsiaTheme="minorEastAsia" w:cstheme="minorEastAsia"/>
                <w:color w:val="auto"/>
                <w:sz w:val="24"/>
                <w:szCs w:val="24"/>
                <w:highlight w:val="none"/>
              </w:rPr>
            </w:pPr>
          </w:p>
        </w:tc>
        <w:tc>
          <w:tcPr>
            <w:tcW w:w="21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成交服务费</w:t>
            </w:r>
          </w:p>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支付方式</w:t>
            </w:r>
          </w:p>
        </w:tc>
        <w:tc>
          <w:tcPr>
            <w:tcW w:w="6660"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成交服务费</w:t>
            </w:r>
            <w:r>
              <w:rPr>
                <w:rFonts w:hint="eastAsia" w:asciiTheme="minorEastAsia" w:hAnsiTheme="minorEastAsia" w:eastAsiaTheme="minorEastAsia" w:cstheme="minorEastAsia"/>
                <w:bCs/>
                <w:color w:val="auto"/>
                <w:sz w:val="24"/>
                <w:szCs w:val="24"/>
                <w:highlight w:val="none"/>
              </w:rPr>
              <w:t>由</w:t>
            </w:r>
            <w:r>
              <w:rPr>
                <w:rFonts w:hint="eastAsia" w:asciiTheme="minorEastAsia" w:hAnsiTheme="minorEastAsia" w:eastAsiaTheme="minorEastAsia" w:cstheme="minorEastAsia"/>
                <w:color w:val="auto"/>
                <w:sz w:val="24"/>
                <w:szCs w:val="24"/>
                <w:highlight w:val="none"/>
              </w:rPr>
              <w:t>中标（成交）供应商</w:t>
            </w:r>
            <w:r>
              <w:rPr>
                <w:rFonts w:hint="eastAsia" w:asciiTheme="minorEastAsia" w:hAnsiTheme="minorEastAsia" w:eastAsiaTheme="minorEastAsia" w:cstheme="minorEastAsia"/>
                <w:bCs/>
                <w:color w:val="auto"/>
                <w:sz w:val="24"/>
                <w:szCs w:val="24"/>
                <w:highlight w:val="none"/>
              </w:rPr>
              <w:t>在领取《</w:t>
            </w:r>
            <w:r>
              <w:rPr>
                <w:rFonts w:hint="eastAsia" w:asciiTheme="minorEastAsia" w:hAnsiTheme="minorEastAsia" w:eastAsiaTheme="minorEastAsia" w:cstheme="minorEastAsia"/>
                <w:color w:val="auto"/>
                <w:sz w:val="24"/>
                <w:szCs w:val="24"/>
                <w:highlight w:val="none"/>
              </w:rPr>
              <w:t>成交</w:t>
            </w:r>
            <w:r>
              <w:rPr>
                <w:rFonts w:hint="eastAsia" w:asciiTheme="minorEastAsia" w:hAnsiTheme="minorEastAsia" w:eastAsiaTheme="minorEastAsia" w:cstheme="minorEastAsia"/>
                <w:bCs/>
                <w:color w:val="auto"/>
                <w:sz w:val="24"/>
                <w:szCs w:val="24"/>
                <w:highlight w:val="none"/>
              </w:rPr>
              <w:t>通知书》原件时,向采购代理机构一次性支付。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0" w:type="dxa"/>
            <w:noWrap w:val="0"/>
            <w:vAlign w:val="center"/>
          </w:tcPr>
          <w:p>
            <w:pPr>
              <w:numPr>
                <w:ilvl w:val="0"/>
                <w:numId w:val="9"/>
              </w:numPr>
              <w:tabs>
                <w:tab w:val="left" w:pos="252"/>
                <w:tab w:val="clear" w:pos="420"/>
              </w:tabs>
              <w:spacing w:line="360" w:lineRule="auto"/>
              <w:ind w:right="-107" w:rightChars="-51"/>
              <w:jc w:val="center"/>
              <w:rPr>
                <w:rFonts w:hint="eastAsia" w:asciiTheme="minorEastAsia" w:hAnsiTheme="minorEastAsia" w:eastAsiaTheme="minorEastAsia" w:cstheme="minorEastAsia"/>
                <w:color w:val="auto"/>
                <w:sz w:val="24"/>
                <w:szCs w:val="24"/>
                <w:highlight w:val="none"/>
              </w:rPr>
            </w:pPr>
          </w:p>
        </w:tc>
        <w:tc>
          <w:tcPr>
            <w:tcW w:w="216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成交服务费</w:t>
            </w:r>
          </w:p>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收费标准</w:t>
            </w:r>
          </w:p>
        </w:tc>
        <w:tc>
          <w:tcPr>
            <w:tcW w:w="6660"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服务类收费标准：由成交供应商在领取《成交通知书》原件时向采购代理机构一次性支付，成交服务费收费标准按国家计委颁布的«招标代理服务收费管理暂行办法»（计价格[2002]1980号）中服务类收费标准执行。</w:t>
            </w:r>
          </w:p>
        </w:tc>
      </w:tr>
    </w:tbl>
    <w:p>
      <w:pPr>
        <w:pStyle w:val="22"/>
        <w:rPr>
          <w:rFonts w:hint="eastAsia" w:asciiTheme="minorEastAsia" w:hAnsiTheme="minorEastAsia" w:eastAsiaTheme="minorEastAsia" w:cstheme="minorEastAsia"/>
          <w:color w:val="auto"/>
          <w:highlight w:val="none"/>
        </w:rPr>
      </w:pPr>
    </w:p>
    <w:p>
      <w:pPr>
        <w:pStyle w:val="8"/>
        <w:pageBreakBefore/>
        <w:numPr>
          <w:ilvl w:val="0"/>
          <w:numId w:val="14"/>
        </w:numPr>
        <w:tabs>
          <w:tab w:val="left" w:pos="0"/>
        </w:tabs>
        <w:ind w:left="2" w:firstLine="0"/>
        <w:rPr>
          <w:rFonts w:hint="eastAsia" w:asciiTheme="minorEastAsia" w:hAnsiTheme="minorEastAsia" w:eastAsiaTheme="minorEastAsia" w:cstheme="minorEastAsia"/>
          <w:color w:val="auto"/>
          <w:sz w:val="32"/>
          <w:highlight w:val="none"/>
        </w:rPr>
      </w:pPr>
      <w:bookmarkStart w:id="58" w:name="_Toc5578658"/>
      <w:bookmarkStart w:id="59" w:name="_Toc20571348"/>
      <w:bookmarkStart w:id="60" w:name="_Toc20564514"/>
      <w:bookmarkStart w:id="61" w:name="_Toc55812444"/>
      <w:bookmarkStart w:id="62" w:name="_Toc5575595"/>
      <w:bookmarkStart w:id="63" w:name="_Toc49329253"/>
      <w:bookmarkStart w:id="64" w:name="_Toc20564602"/>
      <w:bookmarkStart w:id="65" w:name="_Toc20144968"/>
      <w:bookmarkStart w:id="66" w:name="_Toc14658"/>
      <w:bookmarkStart w:id="67" w:name="_Toc525312043"/>
      <w:bookmarkStart w:id="68" w:name="_Toc325031934"/>
      <w:bookmarkStart w:id="69" w:name="_Toc373767191"/>
      <w:bookmarkStart w:id="70" w:name="_Toc28408"/>
      <w:bookmarkStart w:id="71" w:name="_Toc310519878"/>
      <w:bookmarkStart w:id="72" w:name="_Toc8644"/>
      <w:bookmarkStart w:id="73" w:name="_Toc419106555"/>
      <w:bookmarkStart w:id="74" w:name="_Toc113157421"/>
      <w:bookmarkStart w:id="75" w:name="_Toc233"/>
      <w:bookmarkStart w:id="76" w:name="_Toc259803661"/>
      <w:bookmarkStart w:id="77" w:name="_Toc8091"/>
      <w:bookmarkStart w:id="78" w:name="_Toc909"/>
      <w:r>
        <w:rPr>
          <w:rFonts w:hint="eastAsia" w:asciiTheme="minorEastAsia" w:hAnsiTheme="minorEastAsia" w:eastAsiaTheme="minorEastAsia" w:cstheme="minorEastAsia"/>
          <w:color w:val="auto"/>
          <w:sz w:val="32"/>
          <w:highlight w:val="none"/>
        </w:rPr>
        <w:t>概念</w:t>
      </w:r>
      <w:bookmarkEnd w:id="58"/>
      <w:bookmarkEnd w:id="59"/>
      <w:bookmarkEnd w:id="60"/>
      <w:bookmarkEnd w:id="61"/>
      <w:bookmarkEnd w:id="62"/>
      <w:bookmarkEnd w:id="63"/>
      <w:bookmarkEnd w:id="64"/>
      <w:bookmarkEnd w:id="65"/>
      <w:r>
        <w:rPr>
          <w:rFonts w:hint="eastAsia" w:asciiTheme="minorEastAsia" w:hAnsiTheme="minorEastAsia" w:eastAsiaTheme="minorEastAsia" w:cstheme="minorEastAsia"/>
          <w:color w:val="auto"/>
          <w:sz w:val="32"/>
          <w:highlight w:val="none"/>
        </w:rPr>
        <w:t>释义</w:t>
      </w:r>
      <w:bookmarkEnd w:id="66"/>
      <w:bookmarkEnd w:id="67"/>
      <w:bookmarkEnd w:id="68"/>
      <w:bookmarkEnd w:id="69"/>
      <w:bookmarkEnd w:id="70"/>
      <w:bookmarkEnd w:id="71"/>
      <w:bookmarkEnd w:id="72"/>
      <w:bookmarkEnd w:id="73"/>
      <w:bookmarkEnd w:id="74"/>
      <w:bookmarkEnd w:id="75"/>
      <w:bookmarkEnd w:id="76"/>
      <w:bookmarkEnd w:id="77"/>
      <w:bookmarkEnd w:id="78"/>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bookmarkStart w:id="79" w:name="_Toc136662912"/>
      <w:bookmarkStart w:id="80" w:name="_Toc119321123"/>
      <w:bookmarkStart w:id="81" w:name="_Toc136682888"/>
      <w:bookmarkStart w:id="82" w:name="_Toc159385047"/>
      <w:r>
        <w:rPr>
          <w:rFonts w:hint="eastAsia" w:asciiTheme="minorEastAsia" w:hAnsiTheme="minorEastAsia" w:eastAsiaTheme="minorEastAsia" w:cstheme="minorEastAsia"/>
          <w:b/>
          <w:color w:val="auto"/>
          <w:sz w:val="24"/>
          <w:szCs w:val="24"/>
          <w:highlight w:val="none"/>
        </w:rPr>
        <w:t>采购适用法律</w:t>
      </w:r>
      <w:bookmarkEnd w:id="79"/>
      <w:bookmarkEnd w:id="80"/>
      <w:bookmarkEnd w:id="81"/>
      <w:bookmarkEnd w:id="82"/>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本次采购适用的主要法律法规为《中华人民共和国政府采购法》、《政府采购竞争性磋商采购方式管理暂行办法》、《广东省实施＜中华人民共和国政府采购法＞办法》及政府采购其它相关法规。</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bookmarkStart w:id="83" w:name="_Toc136682889"/>
      <w:bookmarkStart w:id="84" w:name="_Toc119321124"/>
      <w:bookmarkStart w:id="85" w:name="_Toc136662913"/>
      <w:bookmarkStart w:id="86" w:name="_Toc159385048"/>
      <w:r>
        <w:rPr>
          <w:rFonts w:hint="eastAsia" w:asciiTheme="minorEastAsia" w:hAnsiTheme="minorEastAsia" w:eastAsiaTheme="minorEastAsia" w:cstheme="minorEastAsia"/>
          <w:b/>
          <w:color w:val="auto"/>
          <w:sz w:val="24"/>
          <w:szCs w:val="24"/>
          <w:highlight w:val="none"/>
        </w:rPr>
        <w:t>释义</w:t>
      </w:r>
      <w:bookmarkEnd w:id="83"/>
      <w:bookmarkEnd w:id="84"/>
      <w:bookmarkEnd w:id="85"/>
      <w:bookmarkEnd w:id="86"/>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政府采购的政策目标：</w:t>
      </w:r>
      <w:r>
        <w:rPr>
          <w:rFonts w:hint="eastAsia" w:asciiTheme="minorEastAsia" w:hAnsiTheme="minorEastAsia" w:eastAsiaTheme="minorEastAsia" w:cstheme="minorEastAsia"/>
          <w:bCs/>
          <w:color w:val="auto"/>
          <w:szCs w:val="32"/>
          <w:highlight w:val="none"/>
        </w:rPr>
        <w:t>政府采购应当</w:t>
      </w:r>
      <w:r>
        <w:rPr>
          <w:rFonts w:hint="eastAsia" w:asciiTheme="minorEastAsia" w:hAnsiTheme="minorEastAsia" w:eastAsiaTheme="minorEastAsia" w:cstheme="minorEastAsia"/>
          <w:color w:val="auto"/>
          <w:szCs w:val="32"/>
          <w:highlight w:val="none"/>
        </w:rPr>
        <w:t>有助于实现</w:t>
      </w:r>
      <w:r>
        <w:rPr>
          <w:rFonts w:hint="eastAsia" w:asciiTheme="minorEastAsia" w:hAnsiTheme="minorEastAsia" w:eastAsiaTheme="minorEastAsia" w:cstheme="minorEastAsia"/>
          <w:bCs/>
          <w:color w:val="auto"/>
          <w:szCs w:val="32"/>
          <w:highlight w:val="none"/>
        </w:rPr>
        <w:t>保护环境</w:t>
      </w:r>
      <w:r>
        <w:rPr>
          <w:rFonts w:hint="eastAsia" w:asciiTheme="minorEastAsia" w:hAnsiTheme="minorEastAsia" w:eastAsiaTheme="minorEastAsia" w:cstheme="minorEastAsia"/>
          <w:color w:val="auto"/>
          <w:szCs w:val="32"/>
          <w:highlight w:val="none"/>
        </w:rPr>
        <w:t>、</w:t>
      </w:r>
      <w:r>
        <w:rPr>
          <w:rFonts w:hint="eastAsia" w:asciiTheme="minorEastAsia" w:hAnsiTheme="minorEastAsia" w:eastAsiaTheme="minorEastAsia" w:cstheme="minorEastAsia"/>
          <w:bCs/>
          <w:color w:val="auto"/>
          <w:szCs w:val="32"/>
          <w:highlight w:val="none"/>
        </w:rPr>
        <w:t>节能减排</w:t>
      </w:r>
      <w:r>
        <w:rPr>
          <w:rFonts w:hint="eastAsia" w:asciiTheme="minorEastAsia" w:hAnsiTheme="minorEastAsia" w:eastAsiaTheme="minorEastAsia" w:cstheme="minorEastAsia"/>
          <w:color w:val="auto"/>
          <w:szCs w:val="32"/>
          <w:highlight w:val="none"/>
        </w:rPr>
        <w:t>、</w:t>
      </w:r>
      <w:r>
        <w:rPr>
          <w:rFonts w:hint="eastAsia" w:asciiTheme="minorEastAsia" w:hAnsiTheme="minorEastAsia" w:eastAsiaTheme="minorEastAsia" w:cstheme="minorEastAsia"/>
          <w:bCs/>
          <w:color w:val="auto"/>
          <w:szCs w:val="32"/>
          <w:highlight w:val="none"/>
        </w:rPr>
        <w:t>支持自主创新</w:t>
      </w:r>
      <w:r>
        <w:rPr>
          <w:rFonts w:hint="eastAsia" w:asciiTheme="minorEastAsia" w:hAnsiTheme="minorEastAsia" w:eastAsiaTheme="minorEastAsia" w:cstheme="minorEastAsia"/>
          <w:color w:val="auto"/>
          <w:szCs w:val="32"/>
          <w:highlight w:val="none"/>
        </w:rPr>
        <w:t>、</w:t>
      </w:r>
      <w:r>
        <w:rPr>
          <w:rFonts w:hint="eastAsia" w:asciiTheme="minorEastAsia" w:hAnsiTheme="minorEastAsia" w:eastAsiaTheme="minorEastAsia" w:cstheme="minorEastAsia"/>
          <w:bCs/>
          <w:color w:val="auto"/>
          <w:szCs w:val="32"/>
          <w:highlight w:val="none"/>
        </w:rPr>
        <w:t>扶持不发达地区和少数民族地区</w:t>
      </w:r>
      <w:r>
        <w:rPr>
          <w:rFonts w:hint="eastAsia" w:asciiTheme="minorEastAsia" w:hAnsiTheme="minorEastAsia" w:eastAsiaTheme="minorEastAsia" w:cstheme="minorEastAsia"/>
          <w:color w:val="auto"/>
          <w:szCs w:val="32"/>
          <w:highlight w:val="none"/>
        </w:rPr>
        <w:t>、</w:t>
      </w:r>
      <w:r>
        <w:rPr>
          <w:rFonts w:hint="eastAsia" w:asciiTheme="minorEastAsia" w:hAnsiTheme="minorEastAsia" w:eastAsiaTheme="minorEastAsia" w:cstheme="minorEastAsia"/>
          <w:bCs/>
          <w:color w:val="auto"/>
          <w:szCs w:val="32"/>
          <w:highlight w:val="none"/>
        </w:rPr>
        <w:t>促进中小企业发展等</w:t>
      </w:r>
      <w:r>
        <w:rPr>
          <w:rFonts w:hint="eastAsia" w:asciiTheme="minorEastAsia" w:hAnsiTheme="minorEastAsia" w:eastAsiaTheme="minorEastAsia" w:cstheme="minorEastAsia"/>
          <w:color w:val="auto"/>
          <w:szCs w:val="32"/>
          <w:highlight w:val="none"/>
        </w:rPr>
        <w:t>国家的经济和社会发展政策目标。</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采购人：是指</w:t>
      </w:r>
      <w:r>
        <w:rPr>
          <w:rFonts w:hint="eastAsia" w:asciiTheme="minorEastAsia" w:hAnsiTheme="minorEastAsia" w:eastAsiaTheme="minorEastAsia" w:cstheme="minorEastAsia"/>
          <w:color w:val="auto"/>
          <w:highlight w:val="none"/>
          <w:lang w:eastAsia="zh-CN"/>
        </w:rPr>
        <w:t>佛山市消防救援支队</w:t>
      </w:r>
      <w:r>
        <w:rPr>
          <w:rFonts w:hint="eastAsia" w:asciiTheme="minorEastAsia" w:hAnsiTheme="minorEastAsia" w:eastAsiaTheme="minorEastAsia" w:cstheme="minorEastAsia"/>
          <w:color w:val="auto"/>
          <w:highlight w:val="none"/>
        </w:rPr>
        <w:t>。为采购活动当事人之一，负责项目的整体规划、技术方案可行性设计论证与实施，作为合同采购方(用户)的主体承担质疑回复、履行合同义务、验收与评价等义务。</w:t>
      </w:r>
    </w:p>
    <w:p>
      <w:pPr>
        <w:numPr>
          <w:ilvl w:val="1"/>
          <w:numId w:val="15"/>
        </w:numPr>
        <w:spacing w:line="360" w:lineRule="auto"/>
        <w:rPr>
          <w:rFonts w:hint="eastAsia" w:asciiTheme="minorEastAsia" w:hAnsiTheme="minorEastAsia" w:eastAsiaTheme="minorEastAsia" w:cstheme="minorEastAsia"/>
          <w:color w:val="auto"/>
          <w:highlight w:val="none"/>
        </w:rPr>
      </w:pPr>
      <w:bookmarkStart w:id="87" w:name="_Toc136662914"/>
      <w:bookmarkStart w:id="88" w:name="_Toc159385049"/>
      <w:bookmarkStart w:id="89" w:name="_Toc136682890"/>
      <w:bookmarkStart w:id="90" w:name="_Toc119321125"/>
      <w:r>
        <w:rPr>
          <w:rFonts w:hint="eastAsia" w:asciiTheme="minorEastAsia" w:hAnsiTheme="minorEastAsia" w:eastAsiaTheme="minorEastAsia" w:cstheme="minorEastAsia"/>
          <w:color w:val="auto"/>
          <w:highlight w:val="none"/>
        </w:rPr>
        <w:t>采购代理机构：是指</w:t>
      </w:r>
      <w:r>
        <w:rPr>
          <w:rFonts w:hint="eastAsia" w:asciiTheme="minorEastAsia" w:hAnsiTheme="minorEastAsia" w:eastAsiaTheme="minorEastAsia" w:cstheme="minorEastAsia"/>
          <w:color w:val="auto"/>
          <w:highlight w:val="none"/>
          <w:lang w:eastAsia="zh-CN"/>
        </w:rPr>
        <w:t>广东远东招标代理有限公司</w:t>
      </w:r>
      <w:r>
        <w:rPr>
          <w:rFonts w:hint="eastAsia" w:asciiTheme="minorEastAsia" w:hAnsiTheme="minorEastAsia" w:eastAsiaTheme="minorEastAsia" w:cstheme="minorEastAsia"/>
          <w:color w:val="auto"/>
          <w:highlight w:val="none"/>
        </w:rPr>
        <w:t>，是整个采购活动的组织者，依法负责编制和发布采购文件，对采购文件拥有最终的解释权。采购代理机构不以任何身份出任磋商小组成员。</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佛山市：是指包括禅城区、顺德区、南海区、高明区、三水区共五个行政辖区。</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采购文件：是指包括项目公告、竞争性磋商文件以及竞争性磋商文件的补充、变更和澄清等一系列文件。</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采购过程：是指从采购项目信息公告发布起，到成交结果公告止，包括采购文件的发布、磋商与报价、评审、澄清等各个程序环节。</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实质性响应：是指符合采购文件的关键性和重要要求、条款、条件、规定，且没有不利于项目实施质量效果和服务保障的重大偏离或保留。实质性条款包括但不限于本文件涉及的“质保期、完工期、付款方式、预算金额”及其它带“★”标注的强制响应条款。</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重大偏离或保留：是指影响到采购文件规定的范围、质量和性能或限制了采购人的权力和参与磋商与报价供应商义务的规定，而调整纠正这些偏离将直接影响到其它参与磋商与报价供应商的公平竞争地位。</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轻微偏离: 是指响应文件能够实质上响应采购文件要求，但在个别地方存在漏项或者提供了不完整的信息和数据等情况，并且补正这些遗漏或者不完整不会对其他参与磋商与报价的供应商造成不公平的结果。它包括负偏离（劣于）和正偏离(优于)。</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中小企业：依据《政府采购促进中小企业发展暂行办法》（财库[2011]181号），包含中型、小型、微型企业，具体标准依据工信部联企业〔2011〕300号文件进行划分。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日期、天数、时间：未有特别说明时，均为公历日（天）及北京时间。</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合格的供应商、合格的产品和服务</w:t>
      </w:r>
      <w:bookmarkEnd w:id="87"/>
      <w:bookmarkEnd w:id="88"/>
      <w:bookmarkEnd w:id="89"/>
      <w:bookmarkEnd w:id="90"/>
    </w:p>
    <w:p>
      <w:pPr>
        <w:numPr>
          <w:ilvl w:val="1"/>
          <w:numId w:val="15"/>
        </w:numPr>
        <w:spacing w:line="360" w:lineRule="auto"/>
        <w:rPr>
          <w:rFonts w:hint="eastAsia" w:asciiTheme="minorEastAsia" w:hAnsiTheme="minorEastAsia" w:eastAsiaTheme="minorEastAsia" w:cstheme="minorEastAsia"/>
          <w:color w:val="auto"/>
          <w:highlight w:val="none"/>
        </w:rPr>
      </w:pPr>
      <w:bookmarkStart w:id="91" w:name="OLE_LINK1"/>
      <w:r>
        <w:rPr>
          <w:rFonts w:hint="eastAsia" w:asciiTheme="minorEastAsia" w:hAnsiTheme="minorEastAsia" w:eastAsiaTheme="minorEastAsia" w:cstheme="minorEastAsia"/>
          <w:color w:val="auto"/>
          <w:highlight w:val="none"/>
        </w:rPr>
        <w:t>根据《政府采购法》第二十二条的要求，供应商参加政府采购活动应当具备下列条件：①具有独立承担民事责任的能力；②具有良好的商业信誉和健全的财务会计制度；③具有履行合同所必需的设备和专业技术能力；④具有依法缴纳税收和社会保障资金的良好记录；⑤参加本次政府采购活动前三年内，在经营活动中没有重大违法记录；⑥法律、行政法规规定的其他条件。</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在参加政府采购活动前三年内，在经营活动中没有重大违法记录。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参与磋商与报价的供应商须在中国大陆境内经政府行业主管部门合法注册登记，符合政府采购法律、法规规定的必备条件，于本文件指定时效内均能满足响应资格及相关重要要求。</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根据财库2007[119]号文与财办库2008[248]号文关于政府采购进口产品管理的有关规定，未经核准同意，供应商参与磋商与报价时必须提供本国产品，供应商以进口产品参与磋商与报价的，将作无效响应处理。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小企业须符合财库[2011]181号和工信部联企业〔2011〕300号文件关于中型、小型、微型企业的要求，且提供本企业制造的货物、承担的工程或者服务，或者提供其他中小企业制造的货物，但不包括使用大型企业注册商标的货物</w:t>
      </w:r>
      <w:r>
        <w:rPr>
          <w:rFonts w:hint="eastAsia" w:asciiTheme="minorEastAsia" w:hAnsiTheme="minorEastAsia" w:eastAsiaTheme="minorEastAsia" w:cstheme="minorEastAsia"/>
          <w:color w:val="auto"/>
          <w:spacing w:val="7"/>
          <w:highlight w:val="none"/>
        </w:rPr>
        <w:t>。</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采购代理机构领取采购文件的供应商进行报名登记备案，供应商经报名登记备案及递交响应文件后即成为合法的参与本项目磋商与报价的供应商。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磋商与报价的供应商应保证提交的资料合法真实且准确有效，如发现自身资料被盗用或复制，应遵循法律途径解决，追究侵权者责任。对同一家供应商递交两份响应文件或同一份响应文件中出现多家参与磋商与报价的供应商名称的，磋商小组将按采购文件中有关无效报价的规定处理。</w:t>
      </w:r>
    </w:p>
    <w:bookmarkEnd w:id="91"/>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所有涉及知识产权的产品及设计，供应商必须确保采购人拥有其合法的、不受限制的无偿使用权，并免受任何侵权诉讼或索偿，否则，由此产生的一切经济损失和法律责任由供应商承担。</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供应商获取了本采购文件并非意味着满足了合格、有效供应商的基本条件，一切均以磋商小组共同评定确认的结果为准。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不合格的供应商参与本项目的报价可认定为无效报价行为，对其提供的货物、工程和伴随服务，采购方拒绝为其承担任何责任义务，且不予支付任何费用。</w:t>
      </w: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pStyle w:val="8"/>
        <w:numPr>
          <w:ilvl w:val="0"/>
          <w:numId w:val="14"/>
        </w:numPr>
        <w:ind w:left="575" w:hanging="575" w:hangingChars="179"/>
        <w:rPr>
          <w:rFonts w:hint="eastAsia" w:asciiTheme="minorEastAsia" w:hAnsiTheme="minorEastAsia" w:eastAsiaTheme="minorEastAsia" w:cstheme="minorEastAsia"/>
          <w:color w:val="auto"/>
          <w:sz w:val="32"/>
          <w:highlight w:val="none"/>
        </w:rPr>
      </w:pPr>
      <w:bookmarkStart w:id="92" w:name="_招标文件说明"/>
      <w:bookmarkEnd w:id="92"/>
      <w:bookmarkStart w:id="93" w:name="_Toc20144973"/>
      <w:bookmarkStart w:id="94" w:name="_Toc259803662"/>
      <w:bookmarkStart w:id="95" w:name="_Toc325031935"/>
      <w:bookmarkStart w:id="96" w:name="_Toc19090"/>
      <w:bookmarkStart w:id="97" w:name="_Toc525312044"/>
      <w:bookmarkStart w:id="98" w:name="_Toc20564519"/>
      <w:bookmarkStart w:id="99" w:name="_Toc55812445"/>
      <w:bookmarkStart w:id="100" w:name="_Toc20564607"/>
      <w:bookmarkStart w:id="101" w:name="_Toc25913"/>
      <w:bookmarkStart w:id="102" w:name="_Toc32517"/>
      <w:bookmarkStart w:id="103" w:name="_Toc49329254"/>
      <w:bookmarkStart w:id="104" w:name="_Toc419106556"/>
      <w:bookmarkStart w:id="105" w:name="_Toc310519879"/>
      <w:bookmarkStart w:id="106" w:name="_Toc20571353"/>
      <w:bookmarkStart w:id="107" w:name="_Toc11044"/>
      <w:bookmarkStart w:id="108" w:name="_Toc27277"/>
      <w:bookmarkStart w:id="109" w:name="_Toc31718"/>
      <w:bookmarkStart w:id="110" w:name="_Toc5575600"/>
      <w:bookmarkStart w:id="111" w:name="_Toc113157422"/>
      <w:bookmarkStart w:id="112" w:name="_Toc373767192"/>
      <w:bookmarkStart w:id="113" w:name="_Toc5578663"/>
      <w:r>
        <w:rPr>
          <w:rFonts w:hint="eastAsia" w:asciiTheme="minorEastAsia" w:hAnsiTheme="minorEastAsia" w:eastAsiaTheme="minorEastAsia" w:cstheme="minorEastAsia"/>
          <w:color w:val="auto"/>
          <w:sz w:val="32"/>
          <w:highlight w:val="none"/>
        </w:rPr>
        <w:t>采购文件说明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采购文件说明</w:t>
      </w:r>
    </w:p>
    <w:p>
      <w:pPr>
        <w:numPr>
          <w:ilvl w:val="1"/>
          <w:numId w:val="15"/>
        </w:numPr>
        <w:spacing w:line="360" w:lineRule="auto"/>
        <w:rPr>
          <w:rFonts w:hint="eastAsia" w:asciiTheme="minorEastAsia" w:hAnsiTheme="minorEastAsia" w:eastAsiaTheme="minorEastAsia" w:cstheme="minorEastAsia"/>
          <w:color w:val="auto"/>
          <w:highlight w:val="none"/>
        </w:rPr>
      </w:pPr>
      <w:bookmarkStart w:id="114" w:name="_Toc49329256"/>
      <w:bookmarkStart w:id="115" w:name="_Toc55812447"/>
      <w:r>
        <w:rPr>
          <w:rFonts w:hint="eastAsia" w:asciiTheme="minorEastAsia" w:hAnsiTheme="minorEastAsia" w:eastAsiaTheme="minorEastAsia" w:cstheme="minorEastAsia"/>
          <w:color w:val="auto"/>
          <w:highlight w:val="none"/>
        </w:rPr>
        <w:t>本文件是采购方阐明所实施的采购项目内容、响应规约等综合性文件，采购文件、响应文件、评审结果、合同书和相关承诺确认文件，均作为约束当事人行为的重要标准，各方当事人均应以最基本的职业道德和商业诚信履行自己应尽的责任义务。</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本文件的专业服务内容如涉及到有官方强制性要求或行业标准规范限制和禁止性内容时，应以官方强制性要求或行业标准规范为准；否则，以本采购文件约定的技术要求为准。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本文件由电子文档制作，它由：采购邀请函、采购项目要求、供应商须知、合同书范本、响应文件格式共五部分组成。</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采购文件中重复描述的内容出现不一致时，均以文件中首次对该内容描述为准。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必须认真阅读理解本采购文件的各项要求，如有任何疑问经向采购方咨询后仍无法解决，应最迟在提交首次响应文件截止之日前5天，以书面形式【包括信函或传真等（应加盖公章），下同】向采购代理机构提出澄清要求，采购代理机构均将以书面形式及时予以回复。</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采购代理机构在采购过程中，均有权要求参与磋商与报价的供应商或相关当事人就本项目的内容按时提交澄清说明或补充材料等，被通知的当事人须认真予以配合。</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采购过程中的一切补充文件一经确认后与主体源文件均具有同等法律效力，确认方均视为知悉无疑并依照最后确认的文件执行。一切要约承诺未经合意缔约方同意不得擅自变更、撤销或转让。</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对各类参数、条款事项成交注“★”号项为不可负偏离的重要参数要求，在磋商采购时须完全实质性响应，若其中一项出现负偏离时将作无效报价处理。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采购方在没有特别要求时，只允许参与磋商与报价的供应商提供唯一最具代表性和竞争力的报价方案，对提供含糊不清、不确定或可选的报价方案者均作无效报价处理。</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bookmarkEnd w:id="114"/>
    <w:bookmarkEnd w:id="115"/>
    <w:p>
      <w:pPr>
        <w:pStyle w:val="8"/>
        <w:numPr>
          <w:ilvl w:val="0"/>
          <w:numId w:val="14"/>
        </w:numPr>
        <w:ind w:left="575" w:hanging="575" w:hangingChars="179"/>
        <w:rPr>
          <w:rFonts w:hint="eastAsia" w:asciiTheme="minorEastAsia" w:hAnsiTheme="minorEastAsia" w:eastAsiaTheme="minorEastAsia" w:cstheme="minorEastAsia"/>
          <w:color w:val="auto"/>
          <w:sz w:val="32"/>
          <w:highlight w:val="none"/>
        </w:rPr>
      </w:pPr>
      <w:bookmarkStart w:id="116" w:name="_Toc259803663"/>
      <w:bookmarkStart w:id="117" w:name="_Toc20332"/>
      <w:bookmarkStart w:id="118" w:name="_Toc13038"/>
      <w:bookmarkStart w:id="119" w:name="_Toc419106557"/>
      <w:bookmarkStart w:id="120" w:name="_Toc13588"/>
      <w:bookmarkStart w:id="121" w:name="_Toc310519880"/>
      <w:bookmarkStart w:id="122" w:name="_Toc525312045"/>
      <w:bookmarkStart w:id="123" w:name="_Toc30042"/>
      <w:bookmarkStart w:id="124" w:name="_Toc493"/>
      <w:bookmarkStart w:id="125" w:name="_Toc325031936"/>
      <w:bookmarkStart w:id="126" w:name="_Toc21419"/>
      <w:bookmarkStart w:id="127" w:name="_Toc373767193"/>
      <w:r>
        <w:rPr>
          <w:rFonts w:hint="eastAsia" w:asciiTheme="minorEastAsia" w:hAnsiTheme="minorEastAsia" w:eastAsiaTheme="minorEastAsia" w:cstheme="minorEastAsia"/>
          <w:color w:val="auto"/>
          <w:sz w:val="32"/>
          <w:highlight w:val="none"/>
        </w:rPr>
        <w:t>响应文件说明</w:t>
      </w:r>
      <w:bookmarkEnd w:id="116"/>
      <w:bookmarkEnd w:id="117"/>
      <w:bookmarkEnd w:id="118"/>
      <w:bookmarkEnd w:id="119"/>
      <w:bookmarkEnd w:id="120"/>
      <w:bookmarkEnd w:id="121"/>
      <w:bookmarkEnd w:id="122"/>
      <w:bookmarkEnd w:id="123"/>
      <w:bookmarkEnd w:id="124"/>
      <w:bookmarkEnd w:id="125"/>
      <w:bookmarkEnd w:id="126"/>
      <w:bookmarkEnd w:id="127"/>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bookmarkStart w:id="128" w:name="_Toc20564611"/>
      <w:bookmarkStart w:id="129" w:name="_Toc5578667"/>
      <w:bookmarkStart w:id="130" w:name="_Toc159385052"/>
      <w:bookmarkStart w:id="131" w:name="_Toc136662917"/>
      <w:bookmarkStart w:id="132" w:name="_Toc20571357"/>
      <w:bookmarkStart w:id="133" w:name="_Toc119321128"/>
      <w:bookmarkStart w:id="134" w:name="_Toc5575604"/>
      <w:bookmarkStart w:id="135" w:name="_Toc136682893"/>
      <w:bookmarkStart w:id="136" w:name="_Toc20564523"/>
      <w:bookmarkStart w:id="137" w:name="_Toc20144977"/>
      <w:r>
        <w:rPr>
          <w:rFonts w:hint="eastAsia" w:asciiTheme="minorEastAsia" w:hAnsiTheme="minorEastAsia" w:eastAsiaTheme="minorEastAsia" w:cstheme="minorEastAsia"/>
          <w:b/>
          <w:color w:val="auto"/>
          <w:sz w:val="24"/>
          <w:szCs w:val="24"/>
          <w:highlight w:val="none"/>
        </w:rPr>
        <w:t>原则</w:t>
      </w:r>
      <w:bookmarkEnd w:id="128"/>
      <w:bookmarkEnd w:id="129"/>
      <w:bookmarkEnd w:id="130"/>
      <w:bookmarkEnd w:id="131"/>
      <w:bookmarkEnd w:id="132"/>
      <w:bookmarkEnd w:id="133"/>
      <w:bookmarkEnd w:id="134"/>
      <w:bookmarkEnd w:id="135"/>
      <w:bookmarkEnd w:id="136"/>
      <w:bookmarkEnd w:id="137"/>
    </w:p>
    <w:p>
      <w:pPr>
        <w:numPr>
          <w:ilvl w:val="1"/>
          <w:numId w:val="15"/>
        </w:numPr>
        <w:spacing w:line="360" w:lineRule="auto"/>
        <w:rPr>
          <w:rFonts w:hint="eastAsia" w:asciiTheme="minorEastAsia" w:hAnsiTheme="minorEastAsia" w:eastAsiaTheme="minorEastAsia" w:cstheme="minorEastAsia"/>
          <w:color w:val="auto"/>
          <w:highlight w:val="none"/>
        </w:rPr>
      </w:pPr>
      <w:bookmarkStart w:id="138" w:name="_Toc119321129"/>
      <w:bookmarkStart w:id="139" w:name="_Toc159385053"/>
      <w:bookmarkStart w:id="140" w:name="_Toc136682894"/>
      <w:bookmarkStart w:id="141" w:name="_Toc136662918"/>
      <w:r>
        <w:rPr>
          <w:rFonts w:hint="eastAsia" w:asciiTheme="minorEastAsia" w:hAnsiTheme="minorEastAsia" w:eastAsiaTheme="minorEastAsia" w:cstheme="minorEastAsia"/>
          <w:color w:val="auto"/>
          <w:highlight w:val="none"/>
        </w:rPr>
        <w:t>响应文件应突出重点，精简扼要。所提供的资料必须符合诚实信用、客观真实的原则，对弄虚作假或违背诚信的违法行为，应承担相应的后果及法律责任。</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无论采购结果如何，供应商自行承担因参加本次磋商而发生的一切费用。采购机构对参与磋商与报价的供应商及其他当事人不承担任何形式的赔偿或补偿。</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响应文件的组成与制作要求</w:t>
      </w:r>
      <w:bookmarkEnd w:id="138"/>
      <w:bookmarkEnd w:id="139"/>
      <w:bookmarkEnd w:id="140"/>
      <w:bookmarkEnd w:id="141"/>
    </w:p>
    <w:p>
      <w:pPr>
        <w:numPr>
          <w:ilvl w:val="1"/>
          <w:numId w:val="15"/>
        </w:numPr>
        <w:spacing w:line="360" w:lineRule="auto"/>
        <w:rPr>
          <w:rFonts w:hint="eastAsia" w:asciiTheme="minorEastAsia" w:hAnsiTheme="minorEastAsia" w:eastAsiaTheme="minorEastAsia" w:cstheme="minorEastAsia"/>
          <w:color w:val="auto"/>
          <w:highlight w:val="none"/>
        </w:rPr>
      </w:pPr>
      <w:bookmarkStart w:id="142" w:name="_Toc119321130"/>
      <w:bookmarkStart w:id="143" w:name="_Toc136682895"/>
      <w:bookmarkStart w:id="144" w:name="_Toc159385054"/>
      <w:bookmarkStart w:id="145" w:name="_Toc136662919"/>
      <w:r>
        <w:rPr>
          <w:rFonts w:hint="eastAsia" w:asciiTheme="minorEastAsia" w:hAnsiTheme="minorEastAsia" w:eastAsiaTheme="minorEastAsia" w:cstheme="minorEastAsia"/>
          <w:color w:val="auto"/>
          <w:highlight w:val="none"/>
        </w:rPr>
        <w:t>响应文件由资格性文件、评审内容索引、商务部分、技术部分、</w:t>
      </w:r>
      <w:r>
        <w:rPr>
          <w:rFonts w:hint="eastAsia" w:asciiTheme="minorEastAsia" w:hAnsiTheme="minorEastAsia" w:eastAsiaTheme="minorEastAsia" w:cstheme="minorEastAsia"/>
          <w:color w:val="auto"/>
          <w:highlight w:val="none"/>
          <w:lang w:eastAsia="zh-CN"/>
        </w:rPr>
        <w:t>其他文件</w:t>
      </w:r>
      <w:r>
        <w:rPr>
          <w:rFonts w:hint="eastAsia" w:asciiTheme="minorEastAsia" w:hAnsiTheme="minorEastAsia" w:eastAsiaTheme="minorEastAsia" w:cstheme="minorEastAsia"/>
          <w:color w:val="auto"/>
          <w:highlight w:val="none"/>
        </w:rPr>
        <w:t>共五部分组成，具体按采购文件中第五部分“响应文件格式”的要求以A4版面统一编制。</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响应文件的制作、不同文字文本的释义均以简体中文文本为准，重要的外文资料须附有中文译注。</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响应文件所使用的公章必须为机构公章，且与参与磋商与报价的供应商名称一致，不能以其它业务章或附属机构章代替。需签名之处必须由当事人亲笔签署。</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《响应承诺函》、《法人（负责人）授权书》、《守法经营声明书》的格式内容不允许擅自删改。</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响应文件自制部分必须打印，每份内页须按序加注页码，整册装订牢固可靠且不能轻易脱落。如因装订问题而出现漏页或缺页，由此产生的一切后果由供应商自行承担。</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任何行间插字、涂改和增删，必须由供应商授权代表在旁边签字或加盖供应商公章后方为有效。</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应包含正本、副本。唱标报价信封、正本、副本须分开单独密封并同时递交（建议每一副本单独密封）。包装文件的封口处须加盖供应商公章或授权代表签名，每一份响应文件上应明确注明“正本”或“副本”字样。</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所有密封文件封套正面统一按“响应文件包装袋封面”格式填写标贴。</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采购机构有权拒绝接受报价的情形：以电报、电话传真形式响应；密封、数量、规格、册装不合要求或逾期提交的响应文件；不按要求提供重要物证资料；不按时交纳足额磋商保证金。</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响应报价</w:t>
      </w:r>
      <w:bookmarkEnd w:id="142"/>
      <w:bookmarkEnd w:id="143"/>
      <w:bookmarkEnd w:id="144"/>
      <w:bookmarkEnd w:id="145"/>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对超出常规、具有特别意义的报价，或报价明显低于成本价或高于同业同期市场平均价时须作出重点说明，详述其理由和依据。</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在提交首次响应文件时间截止后至响应有效期截止前的任何报价为固定不变价，此报价将作为评审的重要依据之一，但并不是确定成交供应商的唯一依据。</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响应报价提出有折扣优惠者，以折扣后的最终优惠价为准。</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响应文件差异修正准则</w:t>
      </w:r>
    </w:p>
    <w:p>
      <w:pPr>
        <w:spacing w:line="360" w:lineRule="auto"/>
        <w:ind w:firstLine="630" w:firstLineChars="300"/>
        <w:rPr>
          <w:rFonts w:hint="eastAsia" w:asciiTheme="minorEastAsia" w:hAnsiTheme="minorEastAsia" w:eastAsiaTheme="minorEastAsia" w:cstheme="minorEastAsia"/>
          <w:color w:val="auto"/>
          <w:highlight w:val="none"/>
        </w:rPr>
      </w:pPr>
      <w:bookmarkStart w:id="146" w:name="_Toc136662920"/>
      <w:bookmarkStart w:id="147" w:name="_Toc159385055"/>
      <w:bookmarkStart w:id="148" w:name="_Toc136682896"/>
      <w:bookmarkStart w:id="149" w:name="_Toc119321131"/>
      <w:r>
        <w:rPr>
          <w:rFonts w:hint="eastAsia" w:asciiTheme="minorEastAsia" w:hAnsiTheme="minorEastAsia" w:eastAsiaTheme="minorEastAsia" w:cstheme="minorEastAsia"/>
          <w:color w:val="auto"/>
          <w:kern w:val="0"/>
          <w:szCs w:val="20"/>
          <w:highlight w:val="none"/>
        </w:rPr>
        <w:t>响应文件出现差异时，修正原则如下：</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公开唱读内容与响应文件对应内容不一致，均以公开唱读内容为准。正本和副本之间内容有差异，以正本为准；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报价汇总表与分项明细表或其它相关报价表的报价不一致时，均以报价汇总表为准；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报价汇总表中各分项报价之和与总价不一致时，以单价修正总价；</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分项明细表中的单价与对应的合计价不相符时，以单价为准，修正对应的该项合计价；</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中文大写与小写数值标注价格不一致，以中文大写表示的报价为准；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响应文件描述内容与原始材料引述内容不一致时，以原始材料内容为准；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对出现以上情况或因明显笔误而需修正任何内容时，均以磋商小组审定通过方为有效；</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磋商小组认定为表述不清晰或无法确定的报价均不予修正。</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磋商保证金和成交服务费</w:t>
      </w:r>
      <w:bookmarkEnd w:id="146"/>
      <w:bookmarkEnd w:id="147"/>
      <w:bookmarkEnd w:id="148"/>
      <w:bookmarkEnd w:id="149"/>
    </w:p>
    <w:p>
      <w:pPr>
        <w:numPr>
          <w:ilvl w:val="1"/>
          <w:numId w:val="15"/>
        </w:numPr>
        <w:spacing w:line="360" w:lineRule="auto"/>
        <w:rPr>
          <w:highlight w:val="none"/>
        </w:rPr>
      </w:pPr>
      <w:bookmarkStart w:id="150" w:name="_Toc159385056"/>
      <w:bookmarkStart w:id="151" w:name="_Toc136682897"/>
      <w:bookmarkStart w:id="152" w:name="_Toc119321132"/>
      <w:bookmarkStart w:id="153" w:name="_Toc136662921"/>
      <w:r>
        <w:rPr>
          <w:rFonts w:hint="eastAsia"/>
          <w:highlight w:val="none"/>
        </w:rPr>
        <w:t>对约定需要交纳磋商保证金时，参与磋商与报价的供应商应在提交首次响应文件截止时间前按采购文件要求交纳磋商保证金。保证金必须以参与磋商与报价的供应商的名义汇入，不接受个人或其它主体单位代为缴交。磋商保证金可以采用银行划账、投标担保函等形式提交，在递交响应文件时凭银行进账单复印件换取回执。供应商未按要求交纳磋商保证金，采购代理机构将拒绝接收其响应文件。对于未成交供应商提交的磋商保证金，采购代理机构将在成交通知书发出后的5个工作日内予以全额无息退还。对于成交供应商的磋商保证金，采购代理机构将在采购合同签订后的5个工作日内予以全额无息退还。</w:t>
      </w:r>
    </w:p>
    <w:p>
      <w:pPr>
        <w:numPr>
          <w:ilvl w:val="1"/>
          <w:numId w:val="15"/>
        </w:numPr>
        <w:spacing w:line="360" w:lineRule="auto"/>
        <w:rPr>
          <w:highlight w:val="none"/>
        </w:rPr>
      </w:pPr>
      <w:r>
        <w:rPr>
          <w:rFonts w:hint="eastAsia"/>
          <w:highlight w:val="none"/>
        </w:rPr>
        <w:t>成交服务费：成交人须在成交公告发出后的三个工作日内，按照采购代理机构的缴费通知将核定的成交服务费现金或者汇入指定账号。该费用应列入响应成本费用的一部分，但不列入报价范畴。</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供应商有下列情形的，其磋商保证金退还按以下约定处理：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提交响应文件截止时间前，撤回所提交的响应文件的，其磋商保证金予以退还。</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递交首次响应文件后，在提交最后报价之前，磋商小组如对磋商文件作出实质性变动时，供应商退出磋商的，其磋商保证金将予以退还。</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递交首次响应文件后，在提交最后报价之前，磋商小组未对磋商文件作出实质性变动时，供应商撤回已提交的所有响应文件、退出磋商或放弃磋商的，其磋商保证金不予退还。</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响应有效期</w:t>
      </w:r>
      <w:bookmarkEnd w:id="150"/>
      <w:bookmarkEnd w:id="151"/>
      <w:bookmarkEnd w:id="152"/>
      <w:bookmarkEnd w:id="153"/>
    </w:p>
    <w:p>
      <w:pPr>
        <w:numPr>
          <w:ilvl w:val="1"/>
          <w:numId w:val="15"/>
        </w:numPr>
        <w:spacing w:line="360" w:lineRule="auto"/>
        <w:rPr>
          <w:rFonts w:hint="eastAsia" w:asciiTheme="minorEastAsia" w:hAnsiTheme="minorEastAsia" w:eastAsiaTheme="minorEastAsia" w:cstheme="minorEastAsia"/>
          <w:color w:val="auto"/>
          <w:highlight w:val="none"/>
        </w:rPr>
      </w:pPr>
      <w:bookmarkStart w:id="154" w:name="_Toc55812449"/>
      <w:bookmarkStart w:id="155" w:name="_Toc49329258"/>
      <w:r>
        <w:rPr>
          <w:rFonts w:hint="eastAsia" w:asciiTheme="minorEastAsia" w:hAnsiTheme="minorEastAsia" w:eastAsiaTheme="minorEastAsia" w:cstheme="minorEastAsia"/>
          <w:color w:val="auto"/>
          <w:highlight w:val="none"/>
        </w:rPr>
        <w:t>响应有效期为自递交响应文件起至确定正式成交供应商止不少于90天，成交单位响应有效期则顺延至项目完成验收之日，在此有效期内未经采购人或采购代理机构同意，响应文件的一切内容和补充承诺均为持续有效且不予改变。</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特殊情况下采购代理机构或采购人可于响应有效期期满前，要求供应商延长其响应文件有效期，其要求与答复均为书面形式，不同意或拒绝延期的供应商将视为自动放弃响应，其磋商保证金将予以退还。</w:t>
      </w:r>
    </w:p>
    <w:p>
      <w:pPr>
        <w:rPr>
          <w:rFonts w:hint="eastAsia" w:asciiTheme="minorEastAsia" w:hAnsiTheme="minorEastAsia" w:eastAsiaTheme="minorEastAsia" w:cstheme="minorEastAsia"/>
          <w:color w:val="auto"/>
          <w:sz w:val="24"/>
          <w:highlight w:val="none"/>
        </w:rPr>
      </w:pPr>
    </w:p>
    <w:bookmarkEnd w:id="154"/>
    <w:bookmarkEnd w:id="155"/>
    <w:p>
      <w:pPr>
        <w:pStyle w:val="8"/>
        <w:numPr>
          <w:ilvl w:val="0"/>
          <w:numId w:val="14"/>
        </w:numPr>
        <w:ind w:left="575" w:hanging="575" w:hangingChars="179"/>
        <w:rPr>
          <w:rFonts w:hint="eastAsia" w:asciiTheme="minorEastAsia" w:hAnsiTheme="minorEastAsia" w:eastAsiaTheme="minorEastAsia" w:cstheme="minorEastAsia"/>
          <w:color w:val="auto"/>
          <w:sz w:val="32"/>
          <w:highlight w:val="none"/>
        </w:rPr>
      </w:pPr>
      <w:bookmarkStart w:id="156" w:name="_Toc525312046"/>
      <w:bookmarkStart w:id="157" w:name="_Toc113157424"/>
      <w:bookmarkStart w:id="158" w:name="_Toc10345"/>
      <w:bookmarkStart w:id="159" w:name="_Toc22428"/>
      <w:bookmarkStart w:id="160" w:name="_Toc310519881"/>
      <w:bookmarkStart w:id="161" w:name="_Toc14981"/>
      <w:bookmarkStart w:id="162" w:name="_Toc325031937"/>
      <w:bookmarkStart w:id="163" w:name="_Toc23089"/>
      <w:bookmarkStart w:id="164" w:name="_Toc419106558"/>
      <w:bookmarkStart w:id="165" w:name="_Toc13972"/>
      <w:bookmarkStart w:id="166" w:name="_Toc259803664"/>
      <w:bookmarkStart w:id="167" w:name="_Toc373767194"/>
      <w:bookmarkStart w:id="168" w:name="_Toc7882"/>
      <w:r>
        <w:rPr>
          <w:rFonts w:hint="eastAsia" w:asciiTheme="minorEastAsia" w:hAnsiTheme="minorEastAsia" w:eastAsiaTheme="minorEastAsia" w:cstheme="minorEastAsia"/>
          <w:color w:val="auto"/>
          <w:sz w:val="32"/>
          <w:highlight w:val="none"/>
        </w:rPr>
        <w:t>磋商小组的组成及评审程序</w:t>
      </w:r>
      <w:bookmarkEnd w:id="156"/>
      <w:bookmarkEnd w:id="157"/>
      <w:bookmarkEnd w:id="158"/>
      <w:bookmarkEnd w:id="159"/>
      <w:bookmarkEnd w:id="160"/>
      <w:bookmarkEnd w:id="161"/>
      <w:bookmarkEnd w:id="162"/>
      <w:bookmarkEnd w:id="163"/>
      <w:bookmarkEnd w:id="164"/>
      <w:bookmarkEnd w:id="165"/>
      <w:bookmarkEnd w:id="166"/>
      <w:bookmarkEnd w:id="167"/>
      <w:bookmarkEnd w:id="168"/>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bookmarkStart w:id="169" w:name="_Toc159385059"/>
      <w:bookmarkStart w:id="170" w:name="_Toc136662924"/>
      <w:bookmarkStart w:id="171" w:name="_Toc119321135"/>
      <w:bookmarkStart w:id="172" w:name="_Toc136682900"/>
      <w:r>
        <w:rPr>
          <w:rFonts w:hint="eastAsia" w:asciiTheme="minorEastAsia" w:hAnsiTheme="minorEastAsia" w:eastAsiaTheme="minorEastAsia" w:cstheme="minorEastAsia"/>
          <w:b/>
          <w:color w:val="auto"/>
          <w:sz w:val="24"/>
          <w:szCs w:val="24"/>
          <w:highlight w:val="none"/>
        </w:rPr>
        <w:t>磋商小组的组成及评审工作要求</w:t>
      </w:r>
      <w:bookmarkEnd w:id="169"/>
      <w:bookmarkEnd w:id="170"/>
      <w:bookmarkEnd w:id="171"/>
      <w:bookmarkEnd w:id="172"/>
    </w:p>
    <w:p>
      <w:pPr>
        <w:numPr>
          <w:ilvl w:val="1"/>
          <w:numId w:val="15"/>
        </w:numPr>
        <w:spacing w:line="360" w:lineRule="auto"/>
        <w:rPr>
          <w:rFonts w:hint="eastAsia" w:asciiTheme="minorEastAsia" w:hAnsiTheme="minorEastAsia" w:eastAsiaTheme="minorEastAsia" w:cstheme="minorEastAsia"/>
          <w:color w:val="auto"/>
          <w:highlight w:val="none"/>
        </w:rPr>
      </w:pPr>
      <w:bookmarkStart w:id="173" w:name="_Toc136682901"/>
      <w:bookmarkStart w:id="174" w:name="_Toc119321136"/>
      <w:bookmarkStart w:id="175" w:name="_Toc136662925"/>
      <w:bookmarkStart w:id="176" w:name="_Toc159385060"/>
      <w:r>
        <w:rPr>
          <w:rFonts w:hint="eastAsia" w:asciiTheme="minorEastAsia" w:hAnsiTheme="minorEastAsia" w:eastAsiaTheme="minorEastAsia" w:cstheme="minorEastAsia"/>
          <w:color w:val="auto"/>
          <w:highlight w:val="none"/>
        </w:rPr>
        <w:t xml:space="preserve">采购代理机构根据项目的特点和专业技术要求依法组建磋商小组，其成员为3人以上单数，其中采购人委派代表1人，其余由相关领域的专家组成，其中专家成员在开标前一天从专家库中抽选产生。 </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将本着公平、公正、科学、择优的原则，严格按照法律法规和采购文件的要求推荐评审结果。如发现磋商小组的工作明显偏离采购文件的要求，或违反国家法律法规，采购代理机构可会同监管部门有权解散磋商小组，重新组织招标或评标，并依法追究有关人员的法律责任。</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磋商小组的工作要求</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评审开始前，磋商小组应确认磋商文件。</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磋商过程中，磋商小组可以根据磋商文件和磋商情况对采购需求中技术要求以及合同书范本中的条款作出实质性变动，但不得变动磋商文件的其他内容或已明确不允许实质性变动的内容及最低要求。现场修改的内容须经采购人代表确认后，以书面形式同时通知所有参加磋商的供应商。磋商小组对磋商文件作出的实质性变动是磋商文件的有效组成部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评审期间，磋商小组应客观、公正地审查供应商提交的响应文件并作出评价，必要时可要求供应商解释或者澄清其响应文件；</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判断响应文件的有效性、合格性和响应情况，仅依赖于供应商最基本的商业诚信和所递交一切文件的真实表述，不额外主动寻求外部证据，不受与本项目无直接关联的外部信息、传言而影响自身的专业判断。</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方当事人、专家成员如对磋商文件、响应文件及相关补充文件的理解存有歧义时，磋商小组可对这些文件或向有关方面进行查证了解质询，通过集体讨论或表决达成一致处理意见。任何形式的决定，须以合法公正和有利于项目的安全顺利实施为前提。</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法律法规相关规定，磋商小组成员和与评审活动有关的人员不得泄露有关响应文件的评审和比较、成交候选供应商的推荐以及与评审有关的其他情况。如在评审过程中发现的供应商的违法违规行为，应及时告知采购人、采购代理机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评审结束后，磋商小组应负责评审报告的编写。</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响应文件的撤回</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提交响应文件截止时间前，供应商可以对所提交的响应文件撤回，并书面通知采购人和采购代理机构。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供应商在提交首次响应文件后，在最后报价之前退出磋商的，均视为其撤回已提交的所有响应文件，并应书面通知采购人和采购代理机构。</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有关磋商的约定</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供应商授权代表必须在规定时间内到达评审现场处理磋商及报价的相关事宜，对于在规定的合理时间内未能到达评审会现场的，该供应商将被视为自动放弃磋商及报价。</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过程中，供应商的授权代表应听从组织方的安排轮侯出席磋商，按照磋商文件的变动情况和磋商小组的要求重新提交响应文件，并由其法定代表人或授权代表签字或者加盖公章，其现场所确认的文件均代表供应商的真实意愿和决定，并作为响应文件的补充内容具有不可撤消更改的法律效力。</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递交首次响应文件后，在提交最后报价之前，供应商可以根据评审情况退出磋商。</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供应商有以下情况的不得再参加同一项目的重新采购活动：</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项目评审开始后，未对磋商文件作出实质性修改时，撤回响应文件或退出磋商的；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对实质性变动内容作出响应并已重新提交响应文件，在提交最后报价之前退出磋商的；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在提交最后报价之后，退出磋商的；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除不可抗力等因素外，成交通知书发出后，供应商拒绝签订政府采购合同的。</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评审流程与相关事项</w:t>
      </w:r>
      <w:bookmarkEnd w:id="173"/>
      <w:bookmarkEnd w:id="174"/>
      <w:bookmarkEnd w:id="175"/>
      <w:bookmarkEnd w:id="176"/>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磋商小组确认磋商文件。磋商文件通过磋商小组集体会签确认后，磋商小组成员则统一严格按其内容和要求进入下列评审程序。</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署通过《评审工作规程》。《评审工作规程》的内容包括评审纪律、评审方法、评审程序与评审细则等，《评审工作规程》一旦通过集体会签确认后，磋商小组成员则统一严格按《评审工作规程》的内容和要求进入下列评审程序。</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资格性审查内容：</w:t>
      </w:r>
      <w:r>
        <w:rPr>
          <w:rFonts w:hint="eastAsia" w:asciiTheme="minorEastAsia" w:hAnsiTheme="minorEastAsia" w:eastAsiaTheme="minorEastAsia" w:cstheme="minorEastAsia"/>
          <w:color w:val="auto"/>
          <w:highlight w:val="none"/>
        </w:rPr>
        <w:t>由磋商小组对照磋商文件中的“资格性文件清单”要求，在满足完整和有效的前提下，核定资格符合的供应商名单。符合资格的供应商将被确定为邀请磋商的对象。</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符合性审查内容：</w:t>
      </w:r>
      <w:r>
        <w:rPr>
          <w:rFonts w:hint="eastAsia" w:asciiTheme="minorEastAsia" w:hAnsiTheme="minorEastAsia" w:eastAsiaTheme="minorEastAsia" w:cstheme="minorEastAsia"/>
          <w:color w:val="auto"/>
          <w:highlight w:val="none"/>
        </w:rPr>
        <w:t>对照本项目的服务、商务、预算金额及文件制作要求，审查响应文件是否完全实质性响应采购文件的要求，没有出现重大偏离。</w:t>
      </w:r>
    </w:p>
    <w:p>
      <w:pPr>
        <w:numPr>
          <w:ilvl w:val="1"/>
          <w:numId w:val="15"/>
        </w:num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符合性审查内容如下：</w:t>
      </w:r>
    </w:p>
    <w:tbl>
      <w:tblPr>
        <w:tblStyle w:val="24"/>
        <w:tblW w:w="936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1"/>
        <w:gridCol w:w="3839"/>
        <w:gridCol w:w="4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5" w:hRule="atLeast"/>
        </w:trPr>
        <w:tc>
          <w:tcPr>
            <w:tcW w:w="6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8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审  查  内  容</w:t>
            </w:r>
          </w:p>
        </w:tc>
        <w:tc>
          <w:tcPr>
            <w:tcW w:w="486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  审  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6"/>
              </w:numPr>
              <w:tabs>
                <w:tab w:val="left" w:pos="972"/>
              </w:tabs>
              <w:jc w:val="center"/>
              <w:rPr>
                <w:rFonts w:hint="eastAsia" w:asciiTheme="minorEastAsia" w:hAnsiTheme="minorEastAsia" w:eastAsiaTheme="minorEastAsia" w:cstheme="minorEastAsia"/>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3"/>
              <w:ind w:left="130"/>
              <w:jc w:val="center"/>
              <w:rPr>
                <w:rFonts w:hint="eastAsia" w:asciiTheme="minorEastAsia" w:hAnsiTheme="minorEastAsia" w:eastAsiaTheme="minorEastAsia" w:cstheme="minorEastAsia"/>
                <w:color w:val="auto"/>
                <w:kern w:val="2"/>
                <w:sz w:val="21"/>
                <w:szCs w:val="24"/>
                <w:highlight w:val="none"/>
                <w:lang w:val="en-US" w:eastAsia="zh-CN"/>
              </w:rPr>
            </w:pPr>
            <w:r>
              <w:rPr>
                <w:rFonts w:hint="eastAsia" w:asciiTheme="minorEastAsia" w:hAnsiTheme="minorEastAsia" w:eastAsiaTheme="minorEastAsia" w:cstheme="minorEastAsia"/>
                <w:color w:val="auto"/>
                <w:kern w:val="2"/>
                <w:sz w:val="21"/>
                <w:szCs w:val="24"/>
                <w:highlight w:val="none"/>
                <w:lang w:val="en-US" w:eastAsia="zh-CN"/>
              </w:rPr>
              <w:t>响应文件制作</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hint="eastAsia" w:asciiTheme="minorEastAsia" w:hAnsiTheme="minorEastAsia" w:eastAsiaTheme="minorEastAsia" w:cstheme="minorEastAsia"/>
                <w:color w:val="auto"/>
                <w:kern w:val="2"/>
                <w:sz w:val="21"/>
                <w:szCs w:val="24"/>
                <w:highlight w:val="none"/>
                <w:lang w:val="en-US" w:eastAsia="zh-CN"/>
              </w:rPr>
            </w:pPr>
            <w:r>
              <w:rPr>
                <w:rFonts w:hint="eastAsia" w:asciiTheme="minorEastAsia" w:hAnsiTheme="minorEastAsia" w:eastAsiaTheme="minorEastAsia" w:cstheme="minorEastAsia"/>
                <w:color w:val="auto"/>
                <w:kern w:val="2"/>
                <w:sz w:val="21"/>
                <w:szCs w:val="24"/>
                <w:highlight w:val="none"/>
                <w:lang w:val="en-US" w:eastAsia="zh-CN"/>
              </w:rPr>
              <w:t>符合响应文件编制格式基本要求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6"/>
              </w:numPr>
              <w:tabs>
                <w:tab w:val="left" w:pos="972"/>
              </w:tabs>
              <w:jc w:val="center"/>
              <w:rPr>
                <w:rFonts w:hint="eastAsia" w:asciiTheme="minorEastAsia" w:hAnsiTheme="minorEastAsia" w:eastAsiaTheme="minorEastAsia" w:cstheme="minorEastAsia"/>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3"/>
              <w:ind w:left="130"/>
              <w:jc w:val="center"/>
              <w:rPr>
                <w:rFonts w:hint="eastAsia" w:asciiTheme="minorEastAsia" w:hAnsiTheme="minorEastAsia" w:eastAsiaTheme="minorEastAsia" w:cstheme="minorEastAsia"/>
                <w:color w:val="auto"/>
                <w:kern w:val="2"/>
                <w:sz w:val="21"/>
                <w:szCs w:val="24"/>
                <w:highlight w:val="none"/>
                <w:lang w:val="en-US" w:eastAsia="zh-CN"/>
              </w:rPr>
            </w:pPr>
            <w:r>
              <w:rPr>
                <w:rFonts w:hint="eastAsia" w:asciiTheme="minorEastAsia" w:hAnsiTheme="minorEastAsia" w:eastAsiaTheme="minorEastAsia" w:cstheme="minorEastAsia"/>
                <w:color w:val="auto"/>
                <w:kern w:val="2"/>
                <w:sz w:val="21"/>
                <w:szCs w:val="24"/>
                <w:highlight w:val="none"/>
                <w:lang w:val="en-US" w:eastAsia="zh-CN"/>
              </w:rPr>
              <w:t>《采购文件最低要求响应清单》</w:t>
            </w:r>
          </w:p>
          <w:p>
            <w:pPr>
              <w:pStyle w:val="13"/>
              <w:ind w:left="130"/>
              <w:jc w:val="center"/>
              <w:rPr>
                <w:rFonts w:hint="eastAsia" w:asciiTheme="minorEastAsia" w:hAnsiTheme="minorEastAsia" w:eastAsiaTheme="minorEastAsia" w:cstheme="minorEastAsia"/>
                <w:color w:val="auto"/>
                <w:kern w:val="2"/>
                <w:sz w:val="21"/>
                <w:szCs w:val="24"/>
                <w:highlight w:val="none"/>
                <w:lang w:val="en-US" w:eastAsia="zh-CN"/>
              </w:rPr>
            </w:pPr>
            <w:r>
              <w:rPr>
                <w:rFonts w:hint="eastAsia" w:asciiTheme="minorEastAsia" w:hAnsiTheme="minorEastAsia" w:eastAsiaTheme="minorEastAsia" w:cstheme="minorEastAsia"/>
                <w:color w:val="auto"/>
                <w:kern w:val="2"/>
                <w:sz w:val="21"/>
                <w:szCs w:val="24"/>
                <w:highlight w:val="none"/>
                <w:lang w:val="en-US" w:eastAsia="zh-CN"/>
              </w:rPr>
              <w:t>中必须提交的文件</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各文件格式、数量及内容均完整有效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6"/>
              </w:numPr>
              <w:tabs>
                <w:tab w:val="left" w:pos="972"/>
              </w:tabs>
              <w:jc w:val="center"/>
              <w:rPr>
                <w:rFonts w:hint="eastAsia" w:asciiTheme="minorEastAsia" w:hAnsiTheme="minorEastAsia" w:eastAsiaTheme="minorEastAsia" w:cstheme="minorEastAsia"/>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3"/>
              <w:ind w:left="130"/>
              <w:jc w:val="center"/>
              <w:rPr>
                <w:rFonts w:hint="eastAsia" w:asciiTheme="minorEastAsia" w:hAnsiTheme="minorEastAsia" w:eastAsiaTheme="minorEastAsia" w:cstheme="minorEastAsia"/>
                <w:color w:val="auto"/>
                <w:kern w:val="2"/>
                <w:sz w:val="21"/>
                <w:szCs w:val="24"/>
                <w:highlight w:val="none"/>
                <w:lang w:val="en-US" w:eastAsia="zh-CN"/>
              </w:rPr>
            </w:pPr>
            <w:r>
              <w:rPr>
                <w:rFonts w:hint="eastAsia" w:asciiTheme="minorEastAsia" w:hAnsiTheme="minorEastAsia" w:eastAsiaTheme="minorEastAsia" w:cstheme="minorEastAsia"/>
                <w:color w:val="auto"/>
                <w:kern w:val="2"/>
                <w:sz w:val="21"/>
                <w:szCs w:val="24"/>
                <w:highlight w:val="none"/>
                <w:lang w:val="en-US" w:eastAsia="zh-CN"/>
              </w:rPr>
              <w:t>保证金</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符合响应文件的要求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6"/>
              </w:numPr>
              <w:tabs>
                <w:tab w:val="left" w:pos="972"/>
              </w:tabs>
              <w:jc w:val="center"/>
              <w:rPr>
                <w:rFonts w:hint="eastAsia" w:asciiTheme="minorEastAsia" w:hAnsiTheme="minorEastAsia" w:eastAsiaTheme="minorEastAsia" w:cstheme="minorEastAsia"/>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3"/>
              <w:ind w:left="130"/>
              <w:jc w:val="center"/>
              <w:rPr>
                <w:rFonts w:hint="eastAsia" w:asciiTheme="minorEastAsia" w:hAnsiTheme="minorEastAsia" w:eastAsiaTheme="minorEastAsia" w:cstheme="minorEastAsia"/>
                <w:color w:val="auto"/>
                <w:kern w:val="2"/>
                <w:sz w:val="21"/>
                <w:szCs w:val="24"/>
                <w:highlight w:val="none"/>
                <w:lang w:val="en-US" w:eastAsia="zh-CN"/>
              </w:rPr>
            </w:pPr>
            <w:r>
              <w:rPr>
                <w:rFonts w:hint="eastAsia" w:asciiTheme="minorEastAsia" w:hAnsiTheme="minorEastAsia" w:eastAsiaTheme="minorEastAsia" w:cstheme="minorEastAsia"/>
                <w:color w:val="auto"/>
                <w:kern w:val="2"/>
                <w:sz w:val="21"/>
                <w:szCs w:val="24"/>
                <w:highlight w:val="none"/>
                <w:lang w:val="en-US" w:eastAsia="zh-CN"/>
              </w:rPr>
              <w:t>报价内容的有效性</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hint="eastAsia" w:asciiTheme="minorEastAsia" w:hAnsiTheme="minorEastAsia" w:eastAsiaTheme="minorEastAsia" w:cstheme="minorEastAsia"/>
                <w:color w:val="auto"/>
                <w:kern w:val="2"/>
                <w:sz w:val="21"/>
                <w:szCs w:val="24"/>
                <w:highlight w:val="none"/>
                <w:lang w:val="en-US" w:eastAsia="zh-CN"/>
              </w:rPr>
            </w:pPr>
            <w:r>
              <w:rPr>
                <w:rFonts w:hint="eastAsia" w:asciiTheme="minorEastAsia" w:hAnsiTheme="minorEastAsia" w:eastAsiaTheme="minorEastAsia" w:cstheme="minorEastAsia"/>
                <w:color w:val="auto"/>
                <w:kern w:val="2"/>
                <w:sz w:val="21"/>
                <w:szCs w:val="24"/>
                <w:highlight w:val="none"/>
                <w:lang w:val="en-US" w:eastAsia="zh-CN"/>
              </w:rPr>
              <w:t>符合报价规定范围且无缺漏项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6"/>
              </w:numPr>
              <w:tabs>
                <w:tab w:val="left" w:pos="972"/>
              </w:tabs>
              <w:jc w:val="center"/>
              <w:rPr>
                <w:rFonts w:hint="eastAsia" w:asciiTheme="minorEastAsia" w:hAnsiTheme="minorEastAsia" w:eastAsiaTheme="minorEastAsia" w:cstheme="minorEastAsia"/>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3"/>
              <w:ind w:left="130"/>
              <w:jc w:val="center"/>
              <w:rPr>
                <w:rFonts w:hint="eastAsia" w:asciiTheme="minorEastAsia" w:hAnsiTheme="minorEastAsia" w:eastAsiaTheme="minorEastAsia" w:cstheme="minorEastAsia"/>
                <w:color w:val="auto"/>
                <w:kern w:val="2"/>
                <w:sz w:val="21"/>
                <w:szCs w:val="24"/>
                <w:highlight w:val="none"/>
                <w:lang w:val="en-US" w:eastAsia="zh-CN"/>
              </w:rPr>
            </w:pPr>
            <w:r>
              <w:rPr>
                <w:rFonts w:hint="eastAsia" w:asciiTheme="minorEastAsia" w:hAnsiTheme="minorEastAsia" w:eastAsiaTheme="minorEastAsia" w:cstheme="minorEastAsia"/>
                <w:color w:val="auto"/>
                <w:kern w:val="2"/>
                <w:sz w:val="21"/>
                <w:szCs w:val="24"/>
                <w:highlight w:val="none"/>
                <w:lang w:val="en-US" w:eastAsia="zh-CN"/>
              </w:rPr>
              <w:t>服务期</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hint="eastAsia" w:asciiTheme="minorEastAsia" w:hAnsiTheme="minorEastAsia" w:eastAsiaTheme="minorEastAsia" w:cstheme="minorEastAsia"/>
                <w:color w:val="auto"/>
                <w:kern w:val="2"/>
                <w:sz w:val="21"/>
                <w:szCs w:val="24"/>
                <w:highlight w:val="none"/>
                <w:lang w:val="en-US" w:eastAsia="zh-CN"/>
              </w:rPr>
            </w:pPr>
            <w:r>
              <w:rPr>
                <w:rFonts w:hint="eastAsia" w:asciiTheme="minorEastAsia" w:hAnsiTheme="minorEastAsia" w:eastAsiaTheme="minorEastAsia" w:cstheme="minorEastAsia"/>
                <w:color w:val="auto"/>
                <w:kern w:val="2"/>
                <w:sz w:val="21"/>
                <w:szCs w:val="24"/>
                <w:highlight w:val="none"/>
                <w:lang w:val="en-US" w:eastAsia="zh-CN"/>
              </w:rPr>
              <w:t>符合响应文件的要求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89" w:hRule="atLeast"/>
        </w:trPr>
        <w:tc>
          <w:tcPr>
            <w:tcW w:w="93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审查结论评定依据：</w:t>
            </w:r>
          </w:p>
          <w:p>
            <w:pPr>
              <w:widowControl/>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以上各项均评定为“符合或合格”时，符合性审查结论为“合格”；若任何一项出现“不符合或不合格”时，则符合性审查结论为“不合格”。</w:t>
            </w:r>
          </w:p>
        </w:tc>
      </w:tr>
    </w:tbl>
    <w:p>
      <w:pPr>
        <w:spacing w:line="360" w:lineRule="auto"/>
        <w:rPr>
          <w:rFonts w:hint="eastAsia" w:asciiTheme="minorEastAsia" w:hAnsiTheme="minorEastAsia" w:eastAsiaTheme="minorEastAsia" w:cstheme="minorEastAsia"/>
          <w:color w:val="auto"/>
          <w:highlight w:val="none"/>
        </w:rPr>
      </w:pP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资格性审查和符合性审查由磋商小组以记名方式独立表决，并以少数服从多数的原则确定审查结果。</w:t>
      </w:r>
      <w:r>
        <w:rPr>
          <w:rFonts w:hint="eastAsia" w:asciiTheme="minorEastAsia" w:hAnsiTheme="minorEastAsia" w:eastAsiaTheme="minorEastAsia" w:cstheme="minorEastAsia"/>
          <w:color w:val="auto"/>
          <w:highlight w:val="none"/>
        </w:rPr>
        <w:t>被审定为“未实质性响应采购文件”时，磋商小组将通知供应商代表亲自到达现场，由当事人对被列举的事实加以核证和确认。未实质性响应采购文件的响应文件按无效处理，将不进入下列程序。</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质询与澄清：</w:t>
      </w:r>
      <w:r>
        <w:rPr>
          <w:rFonts w:hint="eastAsia" w:asciiTheme="minorEastAsia" w:hAnsiTheme="minorEastAsia" w:eastAsiaTheme="minorEastAsia" w:cstheme="minorEastAsia"/>
          <w:color w:val="auto"/>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竞争性磋商：</w:t>
      </w:r>
      <w:r>
        <w:rPr>
          <w:rFonts w:hint="eastAsia" w:asciiTheme="minorEastAsia" w:hAnsiTheme="minorEastAsia" w:eastAsiaTheme="minorEastAsia" w:cstheme="minorEastAsia"/>
          <w:color w:val="auto"/>
          <w:highlight w:val="none"/>
        </w:rPr>
        <w:t>磋商小组所有成员与实质性响应磋商文件的供应商分别进行磋商。在磋商过程中，磋商小组对采购文件有变动的。被供应商应当按照采购文件的变动情况和磋商小组的要求重新提交响应文件，并由其法定代表人或授权代表签字或者加盖公章。磋商小组对采购文件作出的实质性变动是磋商文件的有效组成部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已提交响应文件的供应商，在提交最后报价之前，可以根据情况退出磋商。供应商在最终报价前退出磋商的其响应文件及承诺函不予退回。</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结束后，磋商小组将召集所有继续参加磋商且对由磋商小组最终确定的采购文件作出实质性响应的供应商提交最后报价。提交最后报价的供应商应不少于三家，但符合《政府采购竞争性磋商采购方式管理暂行办法》第二十一条第三款规定的情形除外。根据《财政部关于政府采购竞争性磋商采购方式管理暂行办法有关问题的补充通知》要求，采用竞争性磋商采购方式采购的政府购买服务项目（含政府和社会资本合作项目），在采购过程中符合要求的供应商（社会资本）只有2家的，竞争性磋商采购活动可以继续进行。</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最后报价</w:t>
      </w:r>
      <w:r>
        <w:rPr>
          <w:rFonts w:hint="eastAsia"/>
          <w:b/>
          <w:highlight w:val="none"/>
          <w:lang w:eastAsia="zh-CN"/>
        </w:rPr>
        <w:t>（</w:t>
      </w:r>
      <w:r>
        <w:rPr>
          <w:rFonts w:hint="eastAsia"/>
          <w:b/>
          <w:highlight w:val="none"/>
          <w:lang w:val="en-US" w:eastAsia="zh-CN"/>
        </w:rPr>
        <w:t>投标文件的报价为初次报价，二次报价即最后报价）</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color w:val="auto"/>
          <w:highlight w:val="none"/>
        </w:rPr>
        <w:t>最后报价在规定的时间内现场封闭式进行，一般情况下最后报价不得高于初次报价，但磋商小组对采购文件作出可能影响报价的实质性变动时，经磋商小组同意的情形除外。</w:t>
      </w:r>
    </w:p>
    <w:p>
      <w:pPr>
        <w:numPr>
          <w:ilvl w:val="1"/>
          <w:numId w:val="15"/>
        </w:num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综合评审：经磋商小组确定最终采购需求和提交最后报价的供应商后，由磋商小组采用综合评分法对提交最后报价的供应商的响应文件和最后报价进行综合评分。具体评审标准详见“五、</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评审方法开始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
          <w:color w:val="auto"/>
          <w:highlight w:val="none"/>
        </w:rPr>
        <w:t>评审方法及标准”。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政策性价格折扣：</w:t>
      </w:r>
      <w:r>
        <w:rPr>
          <w:rFonts w:hint="eastAsia" w:asciiTheme="minorEastAsia" w:hAnsiTheme="minorEastAsia" w:eastAsiaTheme="minorEastAsia" w:cstheme="minorEastAsia"/>
          <w:color w:val="auto"/>
          <w:highlight w:val="none"/>
        </w:rPr>
        <w:t>对符合政策要求的中小企业供应商提供的小型和微型企业产品给予相应的价格扣除，按照扣除后的价格参与评审计分，具体扣除比例详见“五、</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评审方法开始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评审方法及标准”。（监狱企业视同小型、微型企业，</w:t>
      </w:r>
      <w:r>
        <w:rPr>
          <w:rFonts w:hint="eastAsia" w:asciiTheme="minorEastAsia" w:hAnsiTheme="minorEastAsia" w:eastAsiaTheme="minorEastAsia" w:cstheme="minorEastAsia"/>
          <w:b/>
          <w:color w:val="auto"/>
          <w:highlight w:val="none"/>
        </w:rPr>
        <w:t>监狱企业参加政府采购活动时，应当提供由省级以上监狱管理局、戒毒管理局&lt;含新疆生产建设兵团&gt;出具的属于监狱企业的证明文件</w:t>
      </w:r>
      <w:r>
        <w:rPr>
          <w:rFonts w:hint="eastAsia" w:asciiTheme="minorEastAsia" w:hAnsiTheme="minorEastAsia" w:eastAsiaTheme="minorEastAsia" w:cstheme="minorEastAsia"/>
          <w:color w:val="auto"/>
          <w:highlight w:val="none"/>
        </w:rPr>
        <w:t>）。</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推荐</w:t>
      </w:r>
      <w:r>
        <w:rPr>
          <w:rFonts w:hint="eastAsia" w:asciiTheme="minorEastAsia" w:hAnsiTheme="minorEastAsia" w:eastAsiaTheme="minorEastAsia" w:cstheme="minorEastAsia"/>
          <w:b/>
          <w:bCs/>
          <w:color w:val="auto"/>
          <w:kern w:val="0"/>
          <w:highlight w:val="none"/>
        </w:rPr>
        <w:t>成交候选供应商</w:t>
      </w:r>
      <w:r>
        <w:rPr>
          <w:rFonts w:hint="eastAsia" w:asciiTheme="minorEastAsia" w:hAnsiTheme="minorEastAsia" w:eastAsiaTheme="minorEastAsia" w:cstheme="minorEastAsia"/>
          <w:color w:val="auto"/>
          <w:highlight w:val="none"/>
        </w:rPr>
        <w:t>：经磋商小组审核，</w:t>
      </w:r>
      <w:r>
        <w:rPr>
          <w:rFonts w:hint="eastAsia" w:asciiTheme="minorEastAsia" w:hAnsiTheme="minorEastAsia" w:eastAsiaTheme="minorEastAsia" w:cstheme="minorEastAsia"/>
          <w:color w:val="auto"/>
          <w:kern w:val="0"/>
          <w:highlight w:val="none"/>
        </w:rPr>
        <w:t>并进行综合评审后，根据综合评分情况，按照评审得分由高到低顺序推荐3名以上成交候选供应商。</w:t>
      </w:r>
      <w:r>
        <w:rPr>
          <w:rFonts w:hint="eastAsia" w:asciiTheme="minorEastAsia" w:hAnsiTheme="minorEastAsia" w:eastAsiaTheme="minorEastAsia" w:cstheme="minorEastAsia"/>
          <w:color w:val="auto"/>
          <w:highlight w:val="none"/>
          <w:shd w:val="clear" w:color="auto" w:fill="FFFFFF"/>
        </w:rPr>
        <w:t>符合</w:t>
      </w:r>
      <w:r>
        <w:rPr>
          <w:rFonts w:hint="eastAsia" w:asciiTheme="minorEastAsia" w:hAnsiTheme="minorEastAsia" w:eastAsiaTheme="minorEastAsia" w:cstheme="minorEastAsia"/>
          <w:color w:val="auto"/>
          <w:highlight w:val="none"/>
        </w:rPr>
        <w:t>《政府采购竞争性磋商采购方式管理暂行办法》</w:t>
      </w:r>
      <w:r>
        <w:rPr>
          <w:rFonts w:hint="eastAsia" w:asciiTheme="minorEastAsia" w:hAnsiTheme="minorEastAsia" w:eastAsiaTheme="minorEastAsia" w:cstheme="minorEastAsia"/>
          <w:color w:val="auto"/>
          <w:highlight w:val="none"/>
          <w:shd w:val="clear" w:color="auto" w:fill="FFFFFF"/>
        </w:rPr>
        <w:t>第二十一条第三款情形的，可以推荐2家成交候选供应商。评审得分相同的，按照最后报价由低到高的顺序推荐。评审得分且最后报价相同的，按照</w:t>
      </w:r>
      <w:r>
        <w:rPr>
          <w:rFonts w:hint="eastAsia" w:asciiTheme="minorEastAsia" w:hAnsiTheme="minorEastAsia" w:eastAsiaTheme="minorEastAsia" w:cstheme="minorEastAsia"/>
          <w:color w:val="auto"/>
          <w:highlight w:val="none"/>
        </w:rPr>
        <w:t>技术部分得分高低</w:t>
      </w:r>
      <w:r>
        <w:rPr>
          <w:rFonts w:hint="eastAsia" w:asciiTheme="minorEastAsia" w:hAnsiTheme="minorEastAsia" w:eastAsiaTheme="minorEastAsia" w:cstheme="minorEastAsia"/>
          <w:color w:val="auto"/>
          <w:highlight w:val="none"/>
          <w:shd w:val="clear" w:color="auto" w:fill="FFFFFF"/>
        </w:rPr>
        <w:t>推荐。</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原件备查审核：</w:t>
      </w:r>
      <w:r>
        <w:rPr>
          <w:rFonts w:hint="eastAsia" w:asciiTheme="minorEastAsia" w:hAnsiTheme="minorEastAsia" w:eastAsiaTheme="minorEastAsia" w:cstheme="minorEastAsia"/>
          <w:color w:val="auto"/>
          <w:highlight w:val="none"/>
        </w:rPr>
        <w:t>若采购文件中要求提交同类项目业绩证明文件、客户验收报告、企业资质证书、人员资格证书、社会保险证明、聘用合同书等资料复印件，磋商小组认为有必要时，可要求参与磋商与报价的供应商在规定的时间内递交原件审核验证。供应商必须在规定的时间内向磋商小组提交原件，否则，将视为提交的文件资料不符合要求。</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如发现</w:t>
      </w:r>
      <w:r>
        <w:rPr>
          <w:rFonts w:hint="eastAsia" w:asciiTheme="minorEastAsia" w:hAnsiTheme="minorEastAsia" w:eastAsiaTheme="minorEastAsia" w:cstheme="minorEastAsia"/>
          <w:color w:val="auto"/>
          <w:highlight w:val="none"/>
          <w:shd w:val="clear" w:color="auto" w:fill="FFFFFF"/>
        </w:rPr>
        <w:t>资格性检查认定错误、分值汇总计算错误、分项评分超出评分标准范围、客观分评分不一致、经磋商小组一致认定评分畸高、畸低的情形</w:t>
      </w:r>
      <w:r>
        <w:rPr>
          <w:rFonts w:hint="eastAsia" w:asciiTheme="minorEastAsia" w:hAnsiTheme="minorEastAsia" w:eastAsiaTheme="minorEastAsia" w:cstheme="minorEastAsia"/>
          <w:color w:val="auto"/>
          <w:highlight w:val="none"/>
        </w:rPr>
        <w:t>，采购人或者采购代理机构应组织重新评审。采购人、采购代理机构如发现磋商小组</w:t>
      </w:r>
      <w:r>
        <w:rPr>
          <w:rFonts w:hint="eastAsia" w:asciiTheme="minorEastAsia" w:hAnsiTheme="minorEastAsia" w:eastAsiaTheme="minorEastAsia" w:cstheme="minorEastAsia"/>
          <w:color w:val="auto"/>
          <w:highlight w:val="none"/>
          <w:shd w:val="clear" w:color="auto" w:fill="FFFFFF"/>
        </w:rPr>
        <w:t>未按照磋商文件规定的评审标准进行评审的</w:t>
      </w:r>
      <w:r>
        <w:rPr>
          <w:rFonts w:hint="eastAsia" w:asciiTheme="minorEastAsia" w:hAnsiTheme="minorEastAsia" w:eastAsiaTheme="minorEastAsia" w:cstheme="minorEastAsia"/>
          <w:color w:val="auto"/>
          <w:highlight w:val="none"/>
        </w:rPr>
        <w:t>，应当重新开展采购活动，并同时书面报告本级财政部门（政府采购管理部门）。</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采购活动终止的情形</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因情况变化，不再符合规定的竞争性磋商采购方式适用情形的；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采购过程出现影响采购公正的违法、违规行为的；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除</w:t>
      </w:r>
      <w:r>
        <w:rPr>
          <w:rFonts w:hint="eastAsia" w:asciiTheme="minorEastAsia" w:hAnsiTheme="minorEastAsia" w:eastAsiaTheme="minorEastAsia" w:cstheme="minorEastAsia"/>
          <w:color w:val="auto"/>
          <w:highlight w:val="none"/>
        </w:rPr>
        <w:t>《政府采购竞争性磋商采购方式管理暂行办法》</w:t>
      </w:r>
      <w:r>
        <w:rPr>
          <w:rFonts w:hint="eastAsia" w:asciiTheme="minorEastAsia" w:hAnsiTheme="minorEastAsia" w:eastAsiaTheme="minorEastAsia" w:cstheme="minorEastAsia"/>
          <w:color w:val="auto"/>
          <w:highlight w:val="none"/>
          <w:shd w:val="clear" w:color="auto" w:fill="FFFFFF"/>
        </w:rPr>
        <w:t>第二十一条第三款规定的情形外，在采购过程中符合要求的供应商或者报价未超过项目控制金额的供应商不足3家的；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政府采购文件存在重大缺漏致无法继续磋商评审，或继续磋商评审可能影响公平竞争的；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因重大变故，采购任务取消的。</w:t>
      </w:r>
    </w:p>
    <w:p>
      <w:pPr>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出现上述情形之一的，采购人或者采购代理机构应当终止竞争性磋商活动，发布项目终止公告并说明原因，重新开展采购活动。如出现上述“因重大变故，采购任务取消的”情形，不仅需要通知所有参加采购活动的供应商，同时还须将项目实施情况和采购任务取消原因报送本级财政监管部门。</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bookmarkStart w:id="177" w:name="_Toc273256956"/>
      <w:bookmarkStart w:id="178" w:name="_Toc399142784"/>
      <w:bookmarkStart w:id="179" w:name="_Toc273256772"/>
      <w:bookmarkStart w:id="180" w:name="_Toc398648504"/>
      <w:bookmarkStart w:id="181" w:name="_Toc398911307"/>
      <w:r>
        <w:rPr>
          <w:rFonts w:hint="eastAsia" w:asciiTheme="minorEastAsia" w:hAnsiTheme="minorEastAsia" w:eastAsiaTheme="minorEastAsia" w:cstheme="minorEastAsia"/>
          <w:b/>
          <w:color w:val="auto"/>
          <w:sz w:val="24"/>
          <w:szCs w:val="24"/>
          <w:highlight w:val="none"/>
        </w:rPr>
        <w:t>未实质性响应磋商文件的情形或无效供应商的认定</w:t>
      </w:r>
      <w:bookmarkEnd w:id="177"/>
      <w:bookmarkEnd w:id="178"/>
      <w:bookmarkEnd w:id="179"/>
      <w:bookmarkEnd w:id="180"/>
      <w:bookmarkEnd w:id="181"/>
    </w:p>
    <w:p>
      <w:pPr>
        <w:numPr>
          <w:ilvl w:val="1"/>
          <w:numId w:val="15"/>
        </w:numPr>
        <w:spacing w:line="360" w:lineRule="auto"/>
        <w:rPr>
          <w:rFonts w:hint="eastAsia" w:asciiTheme="minorEastAsia" w:hAnsiTheme="minorEastAsia" w:eastAsiaTheme="minorEastAsia" w:cstheme="minorEastAsia"/>
          <w:color w:val="auto"/>
          <w:highlight w:val="none"/>
        </w:rPr>
      </w:pPr>
      <w:bookmarkStart w:id="182" w:name="_Toc159385061"/>
      <w:bookmarkStart w:id="183" w:name="_Toc25726401"/>
      <w:bookmarkStart w:id="184" w:name="_Toc136662926"/>
      <w:bookmarkStart w:id="185" w:name="_Toc119321137"/>
      <w:bookmarkStart w:id="186" w:name="_Toc26261448"/>
      <w:bookmarkStart w:id="187" w:name="_Toc136682902"/>
      <w:r>
        <w:rPr>
          <w:rFonts w:hint="eastAsia" w:asciiTheme="minorEastAsia" w:hAnsiTheme="minorEastAsia" w:eastAsiaTheme="minorEastAsia" w:cstheme="minorEastAsia"/>
          <w:color w:val="auto"/>
          <w:highlight w:val="none"/>
        </w:rPr>
        <w:t>不符合《政府采购法》第二十二条对供应商参加政府采购活动应当具备的条件；</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参与磋商的供应商主体不明确；</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不符合采购文件中合格供应商的相关规定；产品或服务不符合法定和约定的合格性标准要求；</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未按要求提交磋商保证金；</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授权代表未能在磋商小组规定的合理时间内达到评审现场；</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供应商的响应文件不符合磋商文件要求；未按要求递交响应文件；</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递交的响应文件密封不严，出现侵权事实行为；</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响应文件编制与内容严重不符合要求；</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未按采购文件要求签字、盖章，出现无效印章、签字和失效文件；</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参与磋商与报价的有效期不响应；</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未按要求提供重要的样板、物证和资料；</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出现不正当竞争的行为；</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以假借、挂靠他人名义或以串谋协同行动等形式参与响应，在独立供应商之间构成互利同盟关系；违反了诚实信用、公平竞争原则；</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供应商相互串通响应，出现以下情形之一的：不同供应商的响应文件由同一单位或者个人编制； 不同供应商委托同一单位或者个人办理参与磋商与报价的事宜；不同供应商的响应文件载明的项目管理成员为同一人； 不同供应商的响应文件异常一致或者磋商报价呈规律性差异；不同供应商的响应文件相互混装； 不同供应商的磋商保证金从同一单位或者个人的账户转出。</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单位负责人为同一人或者存在控股、管理关系的不同供应商，同时参与本项目或分包的响应；</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参与本项目供应商的主要成员同时出任其它供应商的重要职位，包括：法定代表人、董事成员、监事成员、高级经理或有可能影响公平竞争的关键岗位；</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响应方案、报价表述不清晰或无法确定；报价超过了采购项目控制金额；</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未能有效通过资格性审查或符合性审查，对约定必备的合格条件和重要关键内容出现实质性偏离；</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在递交响应文件截止时间之后，响应文件有效期满之前，撤回响应文件或退出磋商；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响应方案或报价出现缺漏，经磋商后磋商小组认为仍无法满足项目要求；</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经磋商小组认定为严重低于成本的恶意报价；</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提供的中小企业声明与承诺等证明材料经认定存在虚假或与事实不符的情形；提供虚假材料谋取成交的；</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出现了违反政府采购进口产品管理相关规定的情形；</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评审期间没有按磋商小组要求提供补充材料，或调整补充内容及修正报价超出允许规定范围；</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授权代表未能在磋商小组规定的合理时间内到达评审现场；</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符合采购文件中载明会导致无效响应的其它规定和要求。</w:t>
      </w:r>
      <w:bookmarkEnd w:id="182"/>
      <w:bookmarkEnd w:id="183"/>
      <w:bookmarkEnd w:id="184"/>
      <w:bookmarkEnd w:id="185"/>
      <w:bookmarkEnd w:id="186"/>
      <w:bookmarkEnd w:id="187"/>
      <w:bookmarkStart w:id="188" w:name="_Toc26261449"/>
      <w:bookmarkStart w:id="189" w:name="_Toc25726402"/>
      <w:bookmarkStart w:id="190" w:name="_Toc29817721"/>
    </w:p>
    <w:bookmarkEnd w:id="188"/>
    <w:bookmarkEnd w:id="189"/>
    <w:bookmarkEnd w:id="190"/>
    <w:p>
      <w:pPr>
        <w:pStyle w:val="8"/>
        <w:numPr>
          <w:ilvl w:val="0"/>
          <w:numId w:val="14"/>
        </w:numPr>
        <w:tabs>
          <w:tab w:val="left" w:pos="0"/>
        </w:tabs>
        <w:ind w:left="2" w:firstLine="0"/>
        <w:rPr>
          <w:rFonts w:hint="eastAsia" w:asciiTheme="minorEastAsia" w:hAnsiTheme="minorEastAsia" w:eastAsiaTheme="minorEastAsia" w:cstheme="minorEastAsia"/>
          <w:color w:val="auto"/>
          <w:sz w:val="32"/>
          <w:highlight w:val="none"/>
        </w:rPr>
      </w:pPr>
      <w:bookmarkStart w:id="191" w:name="_Toc113157425"/>
      <w:bookmarkStart w:id="192" w:name="_Toc49329260"/>
      <w:bookmarkStart w:id="193" w:name="_Toc34704904"/>
      <w:bookmarkStart w:id="194" w:name="_Toc55812451"/>
      <w:bookmarkStart w:id="195" w:name="_Toc4952"/>
      <w:bookmarkStart w:id="196" w:name="_Toc31394"/>
      <w:bookmarkStart w:id="197" w:name="_Toc26088"/>
      <w:bookmarkStart w:id="198" w:name="_Toc3904"/>
      <w:bookmarkStart w:id="199" w:name="_Toc8479"/>
      <w:bookmarkStart w:id="200" w:name="_Toc31703"/>
      <w:r>
        <w:rPr>
          <w:rFonts w:hint="eastAsia" w:asciiTheme="minorEastAsia" w:hAnsiTheme="minorEastAsia" w:eastAsiaTheme="minorEastAsia" w:cstheme="minorEastAsia"/>
          <w:b w:val="0"/>
          <w:bCs/>
          <w:color w:val="auto"/>
          <w:sz w:val="24"/>
          <w:highlight w:val="none"/>
        </w:rPr>
        <w:fldChar w:fldCharType="begin"/>
      </w:r>
      <w:r>
        <w:rPr>
          <w:rFonts w:hint="eastAsia" w:asciiTheme="minorEastAsia" w:hAnsiTheme="minorEastAsia" w:eastAsiaTheme="minorEastAsia" w:cstheme="minorEastAsia"/>
          <w:b w:val="0"/>
          <w:bCs/>
          <w:color w:val="auto"/>
          <w:sz w:val="24"/>
          <w:highlight w:val="none"/>
        </w:rPr>
        <w:instrText xml:space="preserve"> DOCVARIABLE  评审方法开始  \* MERGEFORMAT </w:instrText>
      </w:r>
      <w:r>
        <w:rPr>
          <w:rFonts w:hint="eastAsia" w:asciiTheme="minorEastAsia" w:hAnsiTheme="minorEastAsia" w:eastAsiaTheme="minorEastAsia" w:cstheme="minorEastAsia"/>
          <w:b w:val="0"/>
          <w:bCs/>
          <w:color w:val="auto"/>
          <w:sz w:val="24"/>
          <w:highlight w:val="none"/>
        </w:rPr>
        <w:fldChar w:fldCharType="separate"/>
      </w:r>
      <w:r>
        <w:rPr>
          <w:rFonts w:hint="eastAsia" w:asciiTheme="minorEastAsia" w:hAnsiTheme="minorEastAsia" w:eastAsiaTheme="minorEastAsia" w:cstheme="minorEastAsia"/>
          <w:b w:val="0"/>
          <w:bCs/>
          <w:color w:val="auto"/>
          <w:sz w:val="24"/>
          <w:highlight w:val="none"/>
        </w:rPr>
        <w:fldChar w:fldCharType="end"/>
      </w:r>
      <w:bookmarkStart w:id="201" w:name="_Toc310519882"/>
      <w:bookmarkStart w:id="202" w:name="_Toc525312047"/>
      <w:bookmarkStart w:id="203" w:name="_Toc373767195"/>
      <w:bookmarkStart w:id="204" w:name="_Toc259803665"/>
      <w:bookmarkStart w:id="205" w:name="_Toc419106559"/>
      <w:bookmarkStart w:id="206" w:name="_Toc325031938"/>
      <w:r>
        <w:rPr>
          <w:rFonts w:hint="eastAsia" w:asciiTheme="minorEastAsia" w:hAnsiTheme="minorEastAsia" w:eastAsiaTheme="minorEastAsia" w:cstheme="minorEastAsia"/>
          <w:color w:val="auto"/>
          <w:sz w:val="32"/>
          <w:highlight w:val="none"/>
        </w:rPr>
        <w:t>评审方法</w:t>
      </w:r>
      <w:bookmarkEnd w:id="191"/>
      <w:bookmarkEnd w:id="192"/>
      <w:bookmarkEnd w:id="193"/>
      <w:bookmarkEnd w:id="194"/>
      <w:r>
        <w:rPr>
          <w:rFonts w:hint="eastAsia" w:asciiTheme="minorEastAsia" w:hAnsiTheme="minorEastAsia" w:eastAsiaTheme="minorEastAsia" w:cstheme="minorEastAsia"/>
          <w:color w:val="auto"/>
          <w:sz w:val="32"/>
          <w:highlight w:val="none"/>
        </w:rPr>
        <w:t>及标准</w:t>
      </w:r>
      <w:bookmarkEnd w:id="195"/>
      <w:bookmarkEnd w:id="196"/>
      <w:bookmarkEnd w:id="197"/>
      <w:bookmarkEnd w:id="198"/>
      <w:bookmarkEnd w:id="199"/>
      <w:bookmarkEnd w:id="200"/>
      <w:bookmarkEnd w:id="201"/>
      <w:bookmarkEnd w:id="202"/>
      <w:bookmarkEnd w:id="203"/>
      <w:bookmarkEnd w:id="204"/>
      <w:bookmarkEnd w:id="205"/>
      <w:bookmarkEnd w:id="206"/>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bookmarkStart w:id="207" w:name="_Toc136682904"/>
      <w:bookmarkStart w:id="208" w:name="_Toc20564628"/>
      <w:bookmarkStart w:id="209" w:name="_Toc5578684"/>
      <w:bookmarkStart w:id="210" w:name="_Toc34704906"/>
      <w:bookmarkStart w:id="211" w:name="_Toc5575621"/>
      <w:bookmarkStart w:id="212" w:name="_Toc20144994"/>
      <w:bookmarkStart w:id="213" w:name="_Toc159385063"/>
      <w:bookmarkStart w:id="214" w:name="_Toc23044296"/>
      <w:bookmarkStart w:id="215" w:name="_Toc119321139"/>
      <w:bookmarkStart w:id="216" w:name="_Toc20564540"/>
      <w:bookmarkStart w:id="217" w:name="_Toc136662928"/>
      <w:bookmarkStart w:id="218" w:name="_Toc26261450"/>
      <w:bookmarkStart w:id="219" w:name="_Toc25037540"/>
      <w:bookmarkStart w:id="220" w:name="_Toc25726403"/>
      <w:r>
        <w:rPr>
          <w:rFonts w:hint="eastAsia" w:asciiTheme="minorEastAsia" w:hAnsiTheme="minorEastAsia" w:eastAsiaTheme="minorEastAsia" w:cstheme="minorEastAsia"/>
          <w:b/>
          <w:color w:val="auto"/>
          <w:sz w:val="24"/>
          <w:szCs w:val="24"/>
          <w:highlight w:val="none"/>
        </w:rPr>
        <w:t>评审方法</w:t>
      </w:r>
      <w:bookmarkEnd w:id="207"/>
      <w:bookmarkEnd w:id="208"/>
      <w:bookmarkEnd w:id="209"/>
      <w:bookmarkEnd w:id="210"/>
      <w:bookmarkEnd w:id="211"/>
      <w:bookmarkEnd w:id="212"/>
      <w:bookmarkEnd w:id="213"/>
      <w:bookmarkEnd w:id="214"/>
      <w:bookmarkEnd w:id="215"/>
      <w:bookmarkEnd w:id="216"/>
      <w:bookmarkEnd w:id="217"/>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方法：综合评分法。磋商小组将严格按照本采购文件的评审标准与方法，在符合有效报价范畴且最大限度地满足采购文件实质性要求前提下，对参与磋商与报价的供应商进行综合评审和独立评分。评审因素评分以该项“分值”为上限，“0”分为下限。</w:t>
      </w:r>
    </w:p>
    <w:p>
      <w:pPr>
        <w:numPr>
          <w:ilvl w:val="0"/>
          <w:numId w:val="15"/>
        </w:numPr>
        <w:spacing w:before="240" w:beforeLines="100" w:after="120" w:afterLines="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评审标准</w:t>
      </w:r>
    </w:p>
    <w:p>
      <w:pPr>
        <w:rPr>
          <w:rFonts w:hint="eastAsia" w:asciiTheme="minorEastAsia" w:hAnsiTheme="minorEastAsia" w:eastAsiaTheme="minorEastAsia" w:cstheme="minorEastAsia"/>
          <w:color w:val="auto"/>
          <w:sz w:val="24"/>
          <w:szCs w:val="24"/>
          <w:highlight w:val="none"/>
        </w:rPr>
      </w:pPr>
      <w:bookmarkStart w:id="221" w:name="_Toc273255368"/>
      <w:bookmarkStart w:id="222" w:name="_Toc389489432"/>
      <w:bookmarkStart w:id="223" w:name="_Toc324867197"/>
      <w:bookmarkStart w:id="224" w:name="_Toc1194"/>
      <w:bookmarkStart w:id="225" w:name="_Toc22657"/>
      <w:bookmarkStart w:id="226" w:name="_Toc23759"/>
      <w:r>
        <w:rPr>
          <w:rFonts w:hint="eastAsia" w:asciiTheme="minorEastAsia" w:hAnsiTheme="minorEastAsia" w:eastAsiaTheme="minorEastAsia" w:cstheme="minorEastAsia"/>
          <w:color w:val="auto"/>
          <w:sz w:val="24"/>
          <w:szCs w:val="24"/>
          <w:highlight w:val="none"/>
        </w:rPr>
        <w:br w:type="page"/>
      </w:r>
    </w:p>
    <w:p>
      <w:pPr>
        <w:pStyle w:val="9"/>
        <w:tabs>
          <w:tab w:val="left" w:pos="780"/>
        </w:tabs>
        <w:spacing w:after="120" w:afterLines="0" w:line="240" w:lineRule="auto"/>
        <w:ind w:left="0"/>
        <w:jc w:val="left"/>
        <w:rPr>
          <w:rFonts w:hint="eastAsia" w:asciiTheme="minorEastAsia" w:hAnsiTheme="minorEastAsia" w:eastAsiaTheme="minorEastAsia" w:cstheme="minorEastAsia"/>
          <w:color w:val="auto"/>
          <w:sz w:val="24"/>
          <w:szCs w:val="24"/>
          <w:highlight w:val="none"/>
        </w:rPr>
      </w:pPr>
      <w:bookmarkStart w:id="227" w:name="_Toc16525"/>
      <w:r>
        <w:rPr>
          <w:rFonts w:hint="eastAsia" w:asciiTheme="minorEastAsia" w:hAnsiTheme="minorEastAsia" w:eastAsiaTheme="minorEastAsia" w:cstheme="minorEastAsia"/>
          <w:color w:val="auto"/>
          <w:sz w:val="24"/>
          <w:szCs w:val="24"/>
          <w:highlight w:val="none"/>
        </w:rPr>
        <w:t>权重分配</w:t>
      </w:r>
      <w:bookmarkEnd w:id="221"/>
      <w:bookmarkEnd w:id="222"/>
      <w:bookmarkEnd w:id="223"/>
      <w:r>
        <w:rPr>
          <w:rFonts w:hint="eastAsia" w:asciiTheme="minorEastAsia" w:hAnsiTheme="minorEastAsia" w:eastAsiaTheme="minorEastAsia" w:cstheme="minorEastAsia"/>
          <w:color w:val="auto"/>
          <w:sz w:val="24"/>
          <w:szCs w:val="24"/>
          <w:highlight w:val="none"/>
        </w:rPr>
        <w:t>（总分100分）</w:t>
      </w:r>
      <w:bookmarkEnd w:id="224"/>
      <w:bookmarkEnd w:id="225"/>
      <w:bookmarkEnd w:id="226"/>
      <w:bookmarkEnd w:id="227"/>
    </w:p>
    <w:tbl>
      <w:tblPr>
        <w:tblStyle w:val="24"/>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3059"/>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55" w:type="dxa"/>
            <w:shd w:val="clear" w:color="auto" w:fill="F3F3F3"/>
            <w:noWrap w:val="0"/>
            <w:vAlign w:val="center"/>
          </w:tcPr>
          <w:p>
            <w:pPr>
              <w:jc w:val="center"/>
              <w:rPr>
                <w:rFonts w:hint="eastAsia" w:asciiTheme="minorEastAsia" w:hAnsiTheme="minorEastAsia" w:eastAsiaTheme="minorEastAsia" w:cstheme="minorEastAsia"/>
                <w:b/>
                <w:color w:val="auto"/>
                <w:sz w:val="24"/>
                <w:szCs w:val="24"/>
                <w:highlight w:val="none"/>
                <w:lang w:val="en-GB"/>
              </w:rPr>
            </w:pPr>
            <w:bookmarkStart w:id="228" w:name="_Toc389489433"/>
            <w:bookmarkStart w:id="229" w:name="_Toc324867198"/>
            <w:bookmarkStart w:id="230" w:name="_Toc273255369"/>
            <w:r>
              <w:rPr>
                <w:rFonts w:hint="eastAsia" w:asciiTheme="minorEastAsia" w:hAnsiTheme="minorEastAsia" w:eastAsiaTheme="minorEastAsia" w:cstheme="minorEastAsia"/>
                <w:b/>
                <w:color w:val="auto"/>
                <w:sz w:val="24"/>
                <w:szCs w:val="24"/>
                <w:highlight w:val="none"/>
              </w:rPr>
              <w:t>商务部分</w:t>
            </w:r>
          </w:p>
        </w:tc>
        <w:tc>
          <w:tcPr>
            <w:tcW w:w="3059" w:type="dxa"/>
            <w:shd w:val="clear" w:color="auto" w:fill="F3F3F3"/>
            <w:noWrap w:val="0"/>
            <w:vAlign w:val="center"/>
          </w:tcPr>
          <w:p>
            <w:pPr>
              <w:jc w:val="center"/>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rPr>
              <w:t>技术部分</w:t>
            </w:r>
          </w:p>
        </w:tc>
        <w:tc>
          <w:tcPr>
            <w:tcW w:w="2774" w:type="dxa"/>
            <w:shd w:val="clear" w:color="auto" w:fill="F3F3F3"/>
            <w:noWrap w:val="0"/>
            <w:vAlign w:val="center"/>
          </w:tcPr>
          <w:p>
            <w:pPr>
              <w:jc w:val="center"/>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755" w:type="dxa"/>
            <w:noWrap w:val="0"/>
            <w:vAlign w:val="center"/>
          </w:tcPr>
          <w:p>
            <w:pPr>
              <w:jc w:val="center"/>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US" w:eastAsia="zh-CN" w:bidi="ar"/>
              </w:rPr>
              <w:t>25</w:t>
            </w:r>
            <w:r>
              <w:rPr>
                <w:rFonts w:hint="eastAsia" w:asciiTheme="minorEastAsia" w:hAnsiTheme="minorEastAsia" w:eastAsiaTheme="minorEastAsia" w:cstheme="minorEastAsia"/>
                <w:color w:val="auto"/>
                <w:sz w:val="24"/>
                <w:szCs w:val="24"/>
                <w:highlight w:val="none"/>
                <w:lang w:bidi="ar"/>
              </w:rPr>
              <w:t>%</w:t>
            </w:r>
          </w:p>
        </w:tc>
        <w:tc>
          <w:tcPr>
            <w:tcW w:w="3059" w:type="dxa"/>
            <w:noWrap w:val="0"/>
            <w:vAlign w:val="center"/>
          </w:tcPr>
          <w:p>
            <w:pPr>
              <w:jc w:val="center"/>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US" w:eastAsia="zh-CN" w:bidi="ar"/>
              </w:rPr>
              <w:t>65</w:t>
            </w:r>
            <w:r>
              <w:rPr>
                <w:rFonts w:hint="eastAsia" w:asciiTheme="minorEastAsia" w:hAnsiTheme="minorEastAsia" w:eastAsiaTheme="minorEastAsia" w:cstheme="minorEastAsia"/>
                <w:color w:val="auto"/>
                <w:sz w:val="24"/>
                <w:szCs w:val="24"/>
                <w:highlight w:val="none"/>
                <w:lang w:bidi="ar"/>
              </w:rPr>
              <w:t>%</w:t>
            </w:r>
          </w:p>
        </w:tc>
        <w:tc>
          <w:tcPr>
            <w:tcW w:w="2774" w:type="dxa"/>
            <w:noWrap w:val="0"/>
            <w:vAlign w:val="center"/>
          </w:tcPr>
          <w:p>
            <w:pPr>
              <w:jc w:val="center"/>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bidi="ar"/>
              </w:rPr>
              <w:t>10%</w:t>
            </w:r>
          </w:p>
        </w:tc>
      </w:tr>
    </w:tbl>
    <w:p>
      <w:pPr>
        <w:rPr>
          <w:rFonts w:hint="eastAsia" w:asciiTheme="minorEastAsia" w:hAnsiTheme="minorEastAsia" w:eastAsiaTheme="minorEastAsia" w:cstheme="minorEastAsia"/>
          <w:color w:val="auto"/>
          <w:highlight w:val="none"/>
        </w:rPr>
      </w:pPr>
    </w:p>
    <w:p>
      <w:pPr>
        <w:pStyle w:val="9"/>
        <w:tabs>
          <w:tab w:val="left" w:pos="780"/>
        </w:tabs>
        <w:spacing w:after="120" w:afterLines="0" w:line="240" w:lineRule="auto"/>
        <w:ind w:left="0"/>
        <w:jc w:val="left"/>
        <w:rPr>
          <w:rFonts w:hint="eastAsia" w:asciiTheme="minorEastAsia" w:hAnsiTheme="minorEastAsia" w:eastAsiaTheme="minorEastAsia" w:cstheme="minorEastAsia"/>
          <w:color w:val="auto"/>
          <w:highlight w:val="none"/>
          <w:lang w:val="en-GB"/>
        </w:rPr>
      </w:pPr>
      <w:bookmarkStart w:id="231" w:name="_Toc20695"/>
      <w:bookmarkStart w:id="232" w:name="_Toc28470"/>
      <w:bookmarkStart w:id="233" w:name="_Toc58"/>
      <w:bookmarkStart w:id="234" w:name="_Toc1144"/>
      <w:r>
        <w:rPr>
          <w:rFonts w:hint="eastAsia" w:asciiTheme="minorEastAsia" w:hAnsiTheme="minorEastAsia" w:eastAsiaTheme="minorEastAsia" w:cstheme="minorEastAsia"/>
          <w:color w:val="auto"/>
          <w:sz w:val="24"/>
          <w:szCs w:val="24"/>
          <w:highlight w:val="none"/>
        </w:rPr>
        <w:t>商务部分（权重</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w:t>
      </w:r>
      <w:bookmarkEnd w:id="228"/>
      <w:bookmarkEnd w:id="229"/>
      <w:bookmarkEnd w:id="230"/>
      <w:bookmarkEnd w:id="231"/>
      <w:bookmarkEnd w:id="232"/>
      <w:bookmarkEnd w:id="233"/>
      <w:bookmarkEnd w:id="234"/>
    </w:p>
    <w:tbl>
      <w:tblPr>
        <w:tblStyle w:val="24"/>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241"/>
        <w:gridCol w:w="916"/>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3183"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color w:val="auto"/>
                <w:szCs w:val="21"/>
                <w:highlight w:val="none"/>
              </w:rPr>
            </w:pPr>
            <w:bookmarkStart w:id="235" w:name="_Toc273255370"/>
            <w:bookmarkStart w:id="236" w:name="_Toc389489434"/>
            <w:bookmarkStart w:id="237" w:name="_Toc324867199"/>
            <w:r>
              <w:rPr>
                <w:rFonts w:hint="eastAsia" w:asciiTheme="minorEastAsia" w:hAnsiTheme="minorEastAsia" w:eastAsiaTheme="minorEastAsia" w:cstheme="minorEastAsia"/>
                <w:b/>
                <w:color w:val="auto"/>
                <w:szCs w:val="21"/>
                <w:highlight w:val="none"/>
                <w:lang w:bidi="ar"/>
              </w:rPr>
              <w:t>商务评审因素</w:t>
            </w:r>
          </w:p>
        </w:tc>
        <w:tc>
          <w:tcPr>
            <w:tcW w:w="916"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ind w:left="-8" w:leftChars="-4"/>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bidi="ar"/>
              </w:rPr>
              <w:t>满分值</w:t>
            </w:r>
          </w:p>
        </w:tc>
        <w:tc>
          <w:tcPr>
            <w:tcW w:w="612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ind w:firstLine="321"/>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default"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Theme="minorEastAsia" w:hAnsiTheme="minorEastAsia" w:eastAsiaTheme="minorEastAsia" w:cstheme="minorEastAsia"/>
                <w:color w:val="auto"/>
                <w:sz w:val="21"/>
                <w:highlight w:val="none"/>
              </w:rPr>
            </w:pPr>
            <w:r>
              <w:rPr>
                <w:rFonts w:hint="eastAsia"/>
                <w:color w:val="auto"/>
                <w:sz w:val="24"/>
                <w:szCs w:val="22"/>
                <w:highlight w:val="none"/>
                <w:lang w:eastAsia="zh-CN"/>
              </w:rPr>
              <w:t>企业资质</w:t>
            </w:r>
          </w:p>
        </w:tc>
        <w:tc>
          <w:tcPr>
            <w:tcW w:w="916"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Theme="minorEastAsia" w:hAnsiTheme="minorEastAsia" w:eastAsiaTheme="minorEastAsia" w:cstheme="minorEastAsia"/>
                <w:color w:val="auto"/>
                <w:sz w:val="21"/>
                <w:highlight w:val="none"/>
                <w:lang w:val="en-US" w:eastAsia="zh-CN"/>
              </w:rPr>
            </w:pPr>
            <w:r>
              <w:rPr>
                <w:rFonts w:hint="eastAsia"/>
                <w:color w:val="auto"/>
                <w:sz w:val="24"/>
                <w:szCs w:val="22"/>
                <w:highlight w:val="none"/>
                <w:lang w:val="en-US" w:eastAsia="zh-CN"/>
              </w:rPr>
              <w:t>4</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spacing w:line="288" w:lineRule="auto"/>
              <w:ind w:left="0" w:firstLine="0"/>
              <w:jc w:val="left"/>
              <w:textAlignment w:val="baseline"/>
              <w:rPr>
                <w:rFonts w:hint="eastAsia"/>
                <w:color w:val="auto"/>
                <w:sz w:val="24"/>
                <w:szCs w:val="22"/>
                <w:highlight w:val="none"/>
                <w:lang w:val="en-US" w:eastAsia="zh-CN"/>
              </w:rPr>
            </w:pPr>
            <w:r>
              <w:rPr>
                <w:rFonts w:hint="eastAsia"/>
                <w:color w:val="auto"/>
                <w:sz w:val="24"/>
                <w:szCs w:val="22"/>
                <w:highlight w:val="none"/>
                <w:lang w:eastAsia="zh-CN"/>
              </w:rPr>
              <w:t>投标人提供具有有效的：</w:t>
            </w:r>
          </w:p>
          <w:p>
            <w:pPr>
              <w:pStyle w:val="10"/>
              <w:keepNext w:val="0"/>
              <w:keepLines w:val="0"/>
              <w:pageBreakBefore w:val="0"/>
              <w:widowControl w:val="0"/>
              <w:kinsoku/>
              <w:wordWrap/>
              <w:overflowPunct/>
              <w:topLinePunct w:val="0"/>
              <w:autoSpaceDE w:val="0"/>
              <w:autoSpaceDN w:val="0"/>
              <w:bidi w:val="0"/>
              <w:adjustRightInd w:val="0"/>
              <w:snapToGrid w:val="0"/>
              <w:spacing w:line="288" w:lineRule="auto"/>
              <w:ind w:left="0" w:firstLine="0"/>
              <w:jc w:val="left"/>
              <w:textAlignment w:val="baseline"/>
              <w:rPr>
                <w:rFonts w:hint="eastAsia"/>
                <w:color w:val="auto"/>
                <w:sz w:val="24"/>
                <w:szCs w:val="22"/>
                <w:highlight w:val="none"/>
                <w:lang w:eastAsia="zh-CN"/>
              </w:rPr>
            </w:pPr>
            <w:r>
              <w:rPr>
                <w:rFonts w:hint="eastAsia"/>
                <w:color w:val="auto"/>
                <w:sz w:val="24"/>
                <w:szCs w:val="22"/>
                <w:highlight w:val="none"/>
                <w:lang w:val="en-US" w:eastAsia="zh-CN"/>
              </w:rPr>
              <w:t>1、</w:t>
            </w:r>
            <w:r>
              <w:rPr>
                <w:rFonts w:hint="eastAsia"/>
                <w:color w:val="auto"/>
                <w:sz w:val="24"/>
                <w:szCs w:val="22"/>
                <w:highlight w:val="none"/>
                <w:lang w:eastAsia="zh-CN"/>
              </w:rPr>
              <w:t>消防设施工程专业承包资质证书；</w:t>
            </w:r>
          </w:p>
          <w:p>
            <w:pPr>
              <w:pStyle w:val="10"/>
              <w:keepNext w:val="0"/>
              <w:keepLines w:val="0"/>
              <w:pageBreakBefore w:val="0"/>
              <w:widowControl w:val="0"/>
              <w:kinsoku/>
              <w:wordWrap/>
              <w:overflowPunct/>
              <w:topLinePunct w:val="0"/>
              <w:autoSpaceDE w:val="0"/>
              <w:autoSpaceDN w:val="0"/>
              <w:bidi w:val="0"/>
              <w:adjustRightInd w:val="0"/>
              <w:snapToGrid w:val="0"/>
              <w:spacing w:line="288" w:lineRule="auto"/>
              <w:ind w:left="0" w:firstLine="0"/>
              <w:jc w:val="left"/>
              <w:textAlignment w:val="baseline"/>
              <w:rPr>
                <w:rFonts w:hint="eastAsia"/>
                <w:color w:val="auto"/>
                <w:sz w:val="24"/>
                <w:szCs w:val="22"/>
                <w:highlight w:val="none"/>
                <w:lang w:val="en-US" w:eastAsia="zh-CN"/>
              </w:rPr>
            </w:pPr>
            <w:r>
              <w:rPr>
                <w:rFonts w:hint="eastAsia"/>
                <w:color w:val="auto"/>
                <w:sz w:val="24"/>
                <w:szCs w:val="22"/>
                <w:highlight w:val="none"/>
                <w:lang w:val="en-US" w:eastAsia="zh-CN"/>
              </w:rPr>
              <w:t>2、</w:t>
            </w:r>
            <w:r>
              <w:rPr>
                <w:rFonts w:hint="eastAsia"/>
                <w:color w:val="auto"/>
                <w:sz w:val="24"/>
                <w:szCs w:val="22"/>
                <w:highlight w:val="none"/>
                <w:lang w:eastAsia="zh-CN"/>
              </w:rPr>
              <w:t>省级（或以上）质量技术监督部门核准的CMA计量认证合格证书，且证书附表须包含电气防火检测相关内容；</w:t>
            </w:r>
          </w:p>
          <w:p>
            <w:pPr>
              <w:pStyle w:val="10"/>
              <w:keepNext w:val="0"/>
              <w:keepLines w:val="0"/>
              <w:pageBreakBefore w:val="0"/>
              <w:widowControl w:val="0"/>
              <w:kinsoku/>
              <w:wordWrap/>
              <w:overflowPunct/>
              <w:topLinePunct w:val="0"/>
              <w:autoSpaceDE w:val="0"/>
              <w:autoSpaceDN w:val="0"/>
              <w:bidi w:val="0"/>
              <w:adjustRightInd w:val="0"/>
              <w:snapToGrid w:val="0"/>
              <w:spacing w:line="288" w:lineRule="auto"/>
              <w:ind w:left="0" w:firstLine="0"/>
              <w:jc w:val="left"/>
              <w:textAlignment w:val="baseline"/>
              <w:rPr>
                <w:rFonts w:hint="eastAsia"/>
                <w:color w:val="auto"/>
                <w:sz w:val="24"/>
                <w:szCs w:val="22"/>
                <w:highlight w:val="none"/>
                <w:lang w:val="en-US" w:eastAsia="zh-CN"/>
              </w:rPr>
            </w:pPr>
            <w:r>
              <w:rPr>
                <w:rFonts w:hint="eastAsia"/>
                <w:color w:val="auto"/>
                <w:sz w:val="24"/>
                <w:szCs w:val="22"/>
                <w:highlight w:val="none"/>
                <w:lang w:eastAsia="zh-CN"/>
              </w:rPr>
              <w:t>每提供一项得</w:t>
            </w:r>
            <w:r>
              <w:rPr>
                <w:rFonts w:hint="eastAsia"/>
                <w:color w:val="auto"/>
                <w:sz w:val="24"/>
                <w:szCs w:val="22"/>
                <w:highlight w:val="none"/>
                <w:lang w:val="en-US" w:eastAsia="zh-CN"/>
              </w:rPr>
              <w:t>2</w:t>
            </w:r>
            <w:r>
              <w:rPr>
                <w:rFonts w:hint="eastAsia"/>
                <w:color w:val="auto"/>
                <w:sz w:val="24"/>
                <w:szCs w:val="22"/>
                <w:highlight w:val="none"/>
                <w:lang w:eastAsia="zh-CN"/>
              </w:rPr>
              <w:t>分，</w:t>
            </w:r>
            <w:r>
              <w:rPr>
                <w:rFonts w:hint="eastAsia"/>
                <w:color w:val="auto"/>
                <w:sz w:val="24"/>
                <w:szCs w:val="22"/>
                <w:highlight w:val="none"/>
                <w:lang w:val="en-US" w:eastAsia="zh-CN"/>
              </w:rPr>
              <w:t>本项最高得4分。</w:t>
            </w:r>
          </w:p>
          <w:p>
            <w:pPr>
              <w:pStyle w:val="10"/>
              <w:keepNext w:val="0"/>
              <w:keepLines w:val="0"/>
              <w:pageBreakBefore w:val="0"/>
              <w:widowControl w:val="0"/>
              <w:kinsoku/>
              <w:wordWrap/>
              <w:overflowPunct/>
              <w:topLinePunct w:val="0"/>
              <w:autoSpaceDE w:val="0"/>
              <w:autoSpaceDN w:val="0"/>
              <w:bidi w:val="0"/>
              <w:adjustRightInd w:val="0"/>
              <w:snapToGrid w:val="0"/>
              <w:spacing w:line="288" w:lineRule="auto"/>
              <w:ind w:left="0" w:leftChars="0" w:firstLine="0" w:firstLineChars="0"/>
              <w:jc w:val="left"/>
              <w:textAlignment w:val="baseline"/>
              <w:rPr>
                <w:rFonts w:hint="eastAsia" w:asciiTheme="minorEastAsia" w:hAnsiTheme="minorEastAsia" w:eastAsiaTheme="minorEastAsia" w:cstheme="minorEastAsia"/>
                <w:color w:val="auto"/>
                <w:sz w:val="21"/>
                <w:highlight w:val="none"/>
              </w:rPr>
            </w:pPr>
            <w:r>
              <w:rPr>
                <w:rFonts w:hint="eastAsia"/>
                <w:color w:val="auto"/>
                <w:sz w:val="24"/>
                <w:szCs w:val="22"/>
                <w:highlight w:val="none"/>
              </w:rPr>
              <w:t>备注：须提供相关证书复印件并加盖公章</w:t>
            </w:r>
            <w:r>
              <w:rPr>
                <w:rFonts w:hint="eastAsia"/>
                <w:color w:val="auto"/>
                <w:sz w:val="24"/>
                <w:szCs w:val="22"/>
                <w:highlight w:val="none"/>
                <w:lang w:eastAsia="zh-CN"/>
              </w:rPr>
              <w:t>，不提供不得分</w:t>
            </w:r>
            <w:r>
              <w:rPr>
                <w:rFonts w:hint="eastAsia"/>
                <w:color w:val="auto"/>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highlight w:val="none"/>
                <w:lang w:val="en-US" w:eastAsia="zh-CN"/>
              </w:rPr>
              <w:t>2</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eastAsia="zh-CN"/>
              </w:rPr>
              <w:t>同类业绩</w:t>
            </w:r>
          </w:p>
        </w:tc>
        <w:tc>
          <w:tcPr>
            <w:tcW w:w="916"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val="en-US" w:eastAsia="zh-CN"/>
              </w:rPr>
              <w:t>9</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spacing w:line="288" w:lineRule="auto"/>
              <w:ind w:left="0" w:firstLine="0"/>
              <w:jc w:val="left"/>
              <w:textAlignment w:val="baseline"/>
              <w:rPr>
                <w:rFonts w:hint="eastAsia"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val="en-US" w:eastAsia="zh-CN"/>
              </w:rPr>
              <w:t>1、</w:t>
            </w:r>
            <w:r>
              <w:rPr>
                <w:rFonts w:hint="eastAsia" w:ascii="宋体" w:hAnsi="Times New Roman" w:eastAsia="宋体"/>
                <w:color w:val="auto"/>
                <w:sz w:val="24"/>
                <w:szCs w:val="22"/>
                <w:highlight w:val="none"/>
                <w:lang w:eastAsia="zh-CN"/>
              </w:rPr>
              <w:t>投标人提供</w:t>
            </w:r>
            <w:r>
              <w:rPr>
                <w:rFonts w:hint="eastAsia" w:ascii="宋体" w:hAnsi="Times New Roman" w:eastAsia="宋体"/>
                <w:color w:val="auto"/>
                <w:sz w:val="24"/>
                <w:szCs w:val="22"/>
                <w:highlight w:val="none"/>
                <w:lang w:val="en-US" w:eastAsia="zh-CN"/>
              </w:rPr>
              <w:t>3年内</w:t>
            </w:r>
            <w:r>
              <w:rPr>
                <w:rFonts w:hint="eastAsia" w:ascii="宋体" w:hAnsi="Times New Roman" w:eastAsia="宋体"/>
                <w:color w:val="auto"/>
                <w:sz w:val="24"/>
                <w:szCs w:val="22"/>
                <w:highlight w:val="none"/>
                <w:lang w:eastAsia="zh-CN"/>
              </w:rPr>
              <w:t>（时间以合同签订的时间为准）同类的消防安全隐患排查或火灾隐患重点地区验收项目，每提供一份得</w:t>
            </w:r>
            <w:r>
              <w:rPr>
                <w:rFonts w:hint="eastAsia" w:ascii="宋体" w:hAnsi="Times New Roman" w:eastAsia="宋体"/>
                <w:color w:val="auto"/>
                <w:sz w:val="24"/>
                <w:szCs w:val="22"/>
                <w:highlight w:val="none"/>
                <w:lang w:val="en-US" w:eastAsia="zh-CN"/>
              </w:rPr>
              <w:t>3分，</w:t>
            </w:r>
            <w:bookmarkStart w:id="552" w:name="_GoBack"/>
            <w:bookmarkEnd w:id="552"/>
            <w:r>
              <w:rPr>
                <w:rFonts w:hint="eastAsia" w:ascii="宋体" w:hAnsi="Times New Roman" w:eastAsia="宋体"/>
                <w:color w:val="auto"/>
                <w:sz w:val="24"/>
                <w:szCs w:val="22"/>
                <w:highlight w:val="none"/>
                <w:lang w:val="en-US" w:eastAsia="zh-CN"/>
              </w:rPr>
              <w:t>此项最高得9分。</w:t>
            </w:r>
          </w:p>
          <w:p>
            <w:pPr>
              <w:pStyle w:val="10"/>
              <w:keepNext w:val="0"/>
              <w:keepLines w:val="0"/>
              <w:pageBreakBefore w:val="0"/>
              <w:widowControl w:val="0"/>
              <w:kinsoku/>
              <w:wordWrap/>
              <w:overflowPunct/>
              <w:topLinePunct w:val="0"/>
              <w:autoSpaceDE w:val="0"/>
              <w:autoSpaceDN w:val="0"/>
              <w:bidi w:val="0"/>
              <w:adjustRightInd w:val="0"/>
              <w:snapToGrid w:val="0"/>
              <w:spacing w:line="288" w:lineRule="auto"/>
              <w:ind w:left="0" w:firstLine="0"/>
              <w:jc w:val="left"/>
              <w:textAlignment w:val="baseline"/>
              <w:rPr>
                <w:rFonts w:hint="eastAsia" w:asciiTheme="minorEastAsia" w:hAnsiTheme="minorEastAsia" w:eastAsiaTheme="minorEastAsia" w:cstheme="minorEastAsia"/>
                <w:color w:val="auto"/>
                <w:szCs w:val="21"/>
                <w:highlight w:val="none"/>
                <w:lang w:val="en-US" w:eastAsia="zh-CN"/>
              </w:rPr>
            </w:pPr>
            <w:r>
              <w:rPr>
                <w:rFonts w:hint="eastAsia" w:ascii="宋体" w:hAnsi="Times New Roman" w:eastAsia="宋体"/>
                <w:color w:val="auto"/>
                <w:sz w:val="24"/>
                <w:szCs w:val="22"/>
                <w:highlight w:val="none"/>
                <w:lang w:eastAsia="zh-CN"/>
              </w:rPr>
              <w:t>备注：本项最高得</w:t>
            </w:r>
            <w:r>
              <w:rPr>
                <w:rFonts w:hint="eastAsia" w:ascii="宋体" w:hAnsi="Times New Roman" w:eastAsia="宋体"/>
                <w:color w:val="auto"/>
                <w:sz w:val="24"/>
                <w:szCs w:val="22"/>
                <w:highlight w:val="none"/>
                <w:lang w:val="en-US" w:eastAsia="zh-CN"/>
              </w:rPr>
              <w:t>9分。</w:t>
            </w:r>
            <w:r>
              <w:rPr>
                <w:rFonts w:hint="eastAsia" w:ascii="宋体" w:hAnsi="Times New Roman" w:eastAsia="宋体"/>
                <w:color w:val="auto"/>
                <w:sz w:val="24"/>
                <w:szCs w:val="22"/>
                <w:highlight w:val="none"/>
                <w:lang w:eastAsia="zh-CN"/>
              </w:rPr>
              <w:t>须提供项目合同关键页复印件并加盖公章，不提供不得分。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4"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highlight w:val="none"/>
                <w:lang w:val="en-US" w:eastAsia="zh-CN"/>
              </w:rPr>
              <w:t>3</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eastAsia="zh-CN"/>
              </w:rPr>
            </w:pPr>
            <w:r>
              <w:rPr>
                <w:rFonts w:hint="eastAsia" w:ascii="宋体" w:hAnsi="Times New Roman" w:eastAsia="宋体"/>
                <w:color w:val="auto"/>
                <w:sz w:val="24"/>
                <w:szCs w:val="22"/>
                <w:highlight w:val="none"/>
                <w:lang w:eastAsia="zh-CN"/>
              </w:rPr>
              <w:t>拟派本项目的技术人员</w:t>
            </w:r>
          </w:p>
        </w:tc>
        <w:tc>
          <w:tcPr>
            <w:tcW w:w="916"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val="en-US" w:eastAsia="zh-CN"/>
              </w:rPr>
              <w:t>12</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numPr>
                <w:ilvl w:val="0"/>
                <w:numId w:val="17"/>
              </w:numPr>
              <w:kinsoku/>
              <w:wordWrap/>
              <w:overflowPunct/>
              <w:topLinePunct w:val="0"/>
              <w:autoSpaceDE w:val="0"/>
              <w:autoSpaceDN w:val="0"/>
              <w:bidi w:val="0"/>
              <w:adjustRightInd w:val="0"/>
              <w:snapToGrid w:val="0"/>
              <w:spacing w:line="288" w:lineRule="auto"/>
              <w:ind w:left="0" w:firstLine="0" w:firstLineChars="0"/>
              <w:jc w:val="left"/>
              <w:textAlignment w:val="baseline"/>
              <w:rPr>
                <w:rFonts w:hint="eastAsia"/>
                <w:color w:val="auto"/>
                <w:sz w:val="24"/>
                <w:szCs w:val="22"/>
                <w:highlight w:val="none"/>
                <w:lang w:eastAsia="zh-CN"/>
              </w:rPr>
            </w:pPr>
            <w:r>
              <w:rPr>
                <w:rFonts w:hint="eastAsia"/>
                <w:color w:val="auto"/>
                <w:sz w:val="24"/>
                <w:szCs w:val="22"/>
                <w:highlight w:val="none"/>
                <w:lang w:eastAsia="zh-CN"/>
              </w:rPr>
              <w:t>具有一级注册消防工程师的，每提供1名得</w:t>
            </w:r>
            <w:r>
              <w:rPr>
                <w:rFonts w:hint="eastAsia"/>
                <w:color w:val="auto"/>
                <w:sz w:val="24"/>
                <w:szCs w:val="22"/>
                <w:highlight w:val="none"/>
                <w:lang w:val="en-US" w:eastAsia="zh-CN"/>
              </w:rPr>
              <w:t>3</w:t>
            </w:r>
            <w:r>
              <w:rPr>
                <w:rFonts w:hint="eastAsia"/>
                <w:color w:val="auto"/>
                <w:sz w:val="24"/>
                <w:szCs w:val="22"/>
                <w:highlight w:val="none"/>
                <w:lang w:eastAsia="zh-CN"/>
              </w:rPr>
              <w:t>分，本子项最高得</w:t>
            </w:r>
            <w:r>
              <w:rPr>
                <w:rFonts w:hint="eastAsia"/>
                <w:color w:val="auto"/>
                <w:sz w:val="24"/>
                <w:szCs w:val="22"/>
                <w:highlight w:val="none"/>
                <w:lang w:val="en-US" w:eastAsia="zh-CN"/>
              </w:rPr>
              <w:t>6</w:t>
            </w:r>
            <w:r>
              <w:rPr>
                <w:rFonts w:hint="eastAsia"/>
                <w:color w:val="auto"/>
                <w:sz w:val="24"/>
                <w:szCs w:val="22"/>
                <w:highlight w:val="none"/>
                <w:lang w:eastAsia="zh-CN"/>
              </w:rPr>
              <w:t>分；</w:t>
            </w:r>
          </w:p>
          <w:p>
            <w:pPr>
              <w:pStyle w:val="10"/>
              <w:keepNext w:val="0"/>
              <w:keepLines w:val="0"/>
              <w:pageBreakBefore w:val="0"/>
              <w:widowControl w:val="0"/>
              <w:numPr>
                <w:ilvl w:val="0"/>
                <w:numId w:val="17"/>
              </w:numPr>
              <w:kinsoku/>
              <w:wordWrap/>
              <w:overflowPunct/>
              <w:topLinePunct w:val="0"/>
              <w:autoSpaceDE w:val="0"/>
              <w:autoSpaceDN w:val="0"/>
              <w:bidi w:val="0"/>
              <w:adjustRightInd w:val="0"/>
              <w:snapToGrid w:val="0"/>
              <w:spacing w:line="288" w:lineRule="auto"/>
              <w:ind w:left="0" w:firstLine="0" w:firstLineChars="0"/>
              <w:jc w:val="left"/>
              <w:textAlignment w:val="baseline"/>
              <w:rPr>
                <w:rFonts w:hint="eastAsia"/>
                <w:color w:val="auto"/>
                <w:sz w:val="24"/>
                <w:szCs w:val="22"/>
                <w:highlight w:val="none"/>
                <w:lang w:eastAsia="zh-CN"/>
              </w:rPr>
            </w:pPr>
            <w:r>
              <w:rPr>
                <w:rFonts w:hint="eastAsia"/>
                <w:color w:val="auto"/>
                <w:sz w:val="24"/>
                <w:szCs w:val="22"/>
                <w:highlight w:val="none"/>
                <w:lang w:eastAsia="zh-CN"/>
              </w:rPr>
              <w:t>具有国家公安部消防局颁发的建（构）筑物消防员四级（或以上）或消防设施操作员（国家职业资格四级或以上），每提供1名得1分，本子项最高得</w:t>
            </w:r>
            <w:r>
              <w:rPr>
                <w:rFonts w:hint="eastAsia"/>
                <w:color w:val="auto"/>
                <w:sz w:val="24"/>
                <w:szCs w:val="22"/>
                <w:highlight w:val="none"/>
                <w:lang w:val="en-US" w:eastAsia="zh-CN"/>
              </w:rPr>
              <w:t>6</w:t>
            </w:r>
            <w:r>
              <w:rPr>
                <w:rFonts w:hint="eastAsia"/>
                <w:color w:val="auto"/>
                <w:sz w:val="24"/>
                <w:szCs w:val="22"/>
                <w:highlight w:val="none"/>
                <w:lang w:eastAsia="zh-CN"/>
              </w:rPr>
              <w:t>分。</w:t>
            </w:r>
          </w:p>
          <w:p>
            <w:pPr>
              <w:pStyle w:val="10"/>
              <w:keepNext w:val="0"/>
              <w:keepLines w:val="0"/>
              <w:pageBreakBefore w:val="0"/>
              <w:widowControl w:val="0"/>
              <w:kinsoku/>
              <w:wordWrap/>
              <w:overflowPunct/>
              <w:topLinePunct w:val="0"/>
              <w:autoSpaceDE w:val="0"/>
              <w:autoSpaceDN w:val="0"/>
              <w:bidi w:val="0"/>
              <w:adjustRightInd w:val="0"/>
              <w:snapToGrid w:val="0"/>
              <w:spacing w:line="288" w:lineRule="auto"/>
              <w:ind w:left="0" w:leftChars="0" w:firstLine="0" w:firstLineChars="0"/>
              <w:jc w:val="left"/>
              <w:textAlignment w:val="baseline"/>
              <w:rPr>
                <w:rFonts w:hint="eastAsia" w:asciiTheme="minorEastAsia" w:hAnsiTheme="minorEastAsia" w:eastAsiaTheme="minorEastAsia" w:cstheme="minorEastAsia"/>
                <w:color w:val="auto"/>
                <w:highlight w:val="none"/>
              </w:rPr>
            </w:pPr>
            <w:r>
              <w:rPr>
                <w:rFonts w:hint="eastAsia"/>
                <w:color w:val="auto"/>
                <w:sz w:val="24"/>
                <w:szCs w:val="22"/>
                <w:highlight w:val="none"/>
                <w:lang w:eastAsia="zh-CN"/>
              </w:rPr>
              <w:t>备注：本项最高得</w:t>
            </w:r>
            <w:r>
              <w:rPr>
                <w:rFonts w:hint="eastAsia"/>
                <w:color w:val="auto"/>
                <w:sz w:val="24"/>
                <w:szCs w:val="22"/>
                <w:highlight w:val="none"/>
                <w:lang w:val="en-US" w:eastAsia="zh-CN"/>
              </w:rPr>
              <w:t>12</w:t>
            </w:r>
            <w:r>
              <w:rPr>
                <w:rFonts w:hint="eastAsia"/>
                <w:color w:val="auto"/>
                <w:sz w:val="24"/>
                <w:szCs w:val="22"/>
                <w:highlight w:val="none"/>
                <w:lang w:eastAsia="zh-CN"/>
              </w:rPr>
              <w:t>分。须提供拟派人员的资格证书或注册证书复印件并加盖投标人公章以及近半年任意连续三个月的有效社保证明材料，不提供不得分。有效的社保证明材料是指投标人（或其分支机构）所属当地社保管理部门出具的证明复印件并加盖投标人公章，或投标人（或其分支机构）所属当地社保管理部门网站下载的打印件并加盖投标人公章，或投标人（或其分支机构）所属当地社保管理部门终端设备打印的社保证明文件并加盖投标人公章。</w:t>
            </w:r>
          </w:p>
        </w:tc>
      </w:tr>
    </w:tbl>
    <w:p>
      <w:pPr>
        <w:bidi w:val="0"/>
        <w:rPr>
          <w:rFonts w:hint="eastAsia"/>
          <w:highlight w:val="none"/>
        </w:rPr>
      </w:pPr>
      <w:bookmarkStart w:id="238" w:name="_Toc21327"/>
      <w:bookmarkStart w:id="239" w:name="_Toc17509"/>
      <w:bookmarkStart w:id="240" w:name="_Toc4449"/>
    </w:p>
    <w:p>
      <w:pPr>
        <w:rPr>
          <w:rFonts w:hint="eastAsia" w:asciiTheme="minorEastAsia" w:hAnsiTheme="minorEastAsia" w:eastAsiaTheme="minorEastAsia" w:cstheme="minorEastAsia"/>
          <w:color w:val="auto"/>
          <w:sz w:val="24"/>
          <w:szCs w:val="24"/>
          <w:highlight w:val="none"/>
        </w:rPr>
      </w:pPr>
      <w:bookmarkStart w:id="241" w:name="_Toc32624"/>
      <w:r>
        <w:rPr>
          <w:rFonts w:hint="eastAsia" w:asciiTheme="minorEastAsia" w:hAnsiTheme="minorEastAsia" w:eastAsiaTheme="minorEastAsia" w:cstheme="minorEastAsia"/>
          <w:color w:val="auto"/>
          <w:sz w:val="24"/>
          <w:szCs w:val="24"/>
          <w:highlight w:val="none"/>
        </w:rPr>
        <w:br w:type="page"/>
      </w:r>
    </w:p>
    <w:p>
      <w:pPr>
        <w:pStyle w:val="9"/>
        <w:tabs>
          <w:tab w:val="left" w:pos="780"/>
        </w:tabs>
        <w:spacing w:after="120" w:afterLines="0"/>
        <w:ind w:lef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技术部分（权重</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rPr>
        <w:t>%）</w:t>
      </w:r>
      <w:bookmarkEnd w:id="235"/>
      <w:bookmarkEnd w:id="236"/>
      <w:bookmarkEnd w:id="237"/>
      <w:bookmarkEnd w:id="238"/>
      <w:bookmarkEnd w:id="239"/>
      <w:bookmarkEnd w:id="240"/>
      <w:bookmarkEnd w:id="241"/>
    </w:p>
    <w:tbl>
      <w:tblPr>
        <w:tblStyle w:val="2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31"/>
        <w:gridCol w:w="1080"/>
        <w:gridCol w:w="6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550"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bidi="ar"/>
              </w:rPr>
              <w:t>技术评审因素</w:t>
            </w:r>
          </w:p>
        </w:tc>
        <w:tc>
          <w:tcPr>
            <w:tcW w:w="108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ind w:left="-8" w:leftChars="-4"/>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bidi="ar"/>
              </w:rPr>
              <w:t>满分值</w:t>
            </w:r>
          </w:p>
        </w:tc>
        <w:tc>
          <w:tcPr>
            <w:tcW w:w="663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8"/>
              </w:numPr>
              <w:jc w:val="center"/>
              <w:rPr>
                <w:rFonts w:hint="eastAsia" w:asciiTheme="minorEastAsia" w:hAnsiTheme="minorEastAsia" w:eastAsiaTheme="minorEastAsia" w:cstheme="minorEastAsia"/>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eastAsia="zh-CN"/>
              </w:rPr>
            </w:pPr>
            <w:r>
              <w:rPr>
                <w:rFonts w:hint="eastAsia" w:ascii="宋体" w:hAnsi="Times New Roman" w:eastAsia="宋体"/>
                <w:color w:val="auto"/>
                <w:sz w:val="24"/>
                <w:szCs w:val="22"/>
                <w:highlight w:val="none"/>
                <w:lang w:eastAsia="zh-CN"/>
              </w:rPr>
              <w:t>服务（技术）条款响应程度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val="en-US" w:eastAsia="zh-CN"/>
              </w:rPr>
              <w:t>10</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left"/>
              <w:textAlignment w:val="auto"/>
              <w:rPr>
                <w:rFonts w:hint="eastAsia"/>
                <w:color w:val="auto"/>
                <w:sz w:val="24"/>
                <w:szCs w:val="22"/>
                <w:highlight w:val="none"/>
              </w:rPr>
            </w:pPr>
            <w:r>
              <w:rPr>
                <w:rFonts w:hint="eastAsia" w:ascii="宋体" w:hAnsi="宋体" w:eastAsia="宋体" w:cs="宋体"/>
                <w:color w:val="auto"/>
                <w:sz w:val="24"/>
                <w:szCs w:val="22"/>
                <w:highlight w:val="none"/>
              </w:rPr>
              <w:t>完全满足或优于招标文件要求得</w:t>
            </w:r>
            <w:r>
              <w:rPr>
                <w:rFonts w:hint="eastAsia" w:ascii="宋体" w:hAnsi="宋体" w:eastAsia="宋体" w:cs="宋体"/>
                <w:color w:val="auto"/>
                <w:sz w:val="24"/>
                <w:szCs w:val="22"/>
                <w:highlight w:val="none"/>
                <w:lang w:val="en-US" w:eastAsia="zh-CN"/>
              </w:rPr>
              <w:t>10</w:t>
            </w:r>
            <w:r>
              <w:rPr>
                <w:rFonts w:hint="eastAsia" w:ascii="宋体" w:hAnsi="宋体" w:eastAsia="宋体" w:cs="宋体"/>
                <w:color w:val="auto"/>
                <w:sz w:val="24"/>
                <w:szCs w:val="22"/>
                <w:highlight w:val="none"/>
              </w:rPr>
              <w:t>分，每不响应或负偏离一项扣</w:t>
            </w:r>
            <w:r>
              <w:rPr>
                <w:rFonts w:hint="eastAsia" w:ascii="宋体" w:hAnsi="宋体" w:eastAsia="宋体" w:cs="宋体"/>
                <w:color w:val="auto"/>
                <w:sz w:val="24"/>
                <w:szCs w:val="22"/>
                <w:highlight w:val="none"/>
                <w:lang w:val="en-US" w:eastAsia="zh-CN"/>
              </w:rPr>
              <w:t>0.5</w:t>
            </w:r>
            <w:r>
              <w:rPr>
                <w:rFonts w:hint="eastAsia" w:ascii="宋体" w:hAnsi="宋体" w:eastAsia="宋体" w:cs="宋体"/>
                <w:color w:val="auto"/>
                <w:sz w:val="24"/>
                <w:szCs w:val="22"/>
                <w:highlight w:val="none"/>
              </w:rPr>
              <w:t>分，直到扣完为止。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8"/>
              </w:numPr>
              <w:jc w:val="center"/>
              <w:rPr>
                <w:rFonts w:hint="eastAsia" w:asciiTheme="minorEastAsia" w:hAnsiTheme="minorEastAsia" w:eastAsiaTheme="minorEastAsia" w:cstheme="minorEastAsia"/>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eastAsia="zh-CN"/>
              </w:rPr>
              <w:t>整体实施方案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val="en-US" w:eastAsia="zh-CN"/>
              </w:rPr>
              <w:t>15</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color w:val="auto"/>
                <w:sz w:val="24"/>
                <w:szCs w:val="22"/>
                <w:highlight w:val="none"/>
              </w:rPr>
            </w:pPr>
            <w:r>
              <w:rPr>
                <w:rFonts w:hint="eastAsia"/>
                <w:color w:val="auto"/>
                <w:sz w:val="24"/>
                <w:szCs w:val="22"/>
                <w:highlight w:val="none"/>
              </w:rPr>
              <w:t>有详细、合理可行的</w:t>
            </w:r>
            <w:r>
              <w:rPr>
                <w:rFonts w:hint="eastAsia"/>
                <w:color w:val="auto"/>
                <w:sz w:val="24"/>
                <w:szCs w:val="22"/>
                <w:highlight w:val="none"/>
                <w:lang w:eastAsia="zh-CN"/>
              </w:rPr>
              <w:t>评估实施</w:t>
            </w:r>
            <w:r>
              <w:rPr>
                <w:rFonts w:hint="eastAsia"/>
                <w:color w:val="auto"/>
                <w:sz w:val="24"/>
                <w:szCs w:val="22"/>
                <w:highlight w:val="none"/>
              </w:rPr>
              <w:t>方案、人员设备配置方案、合理的</w:t>
            </w:r>
            <w:r>
              <w:rPr>
                <w:rFonts w:hint="eastAsia"/>
                <w:color w:val="auto"/>
                <w:sz w:val="24"/>
                <w:szCs w:val="22"/>
                <w:highlight w:val="none"/>
                <w:lang w:eastAsia="zh-CN"/>
              </w:rPr>
              <w:t>评估</w:t>
            </w:r>
            <w:r>
              <w:rPr>
                <w:rFonts w:hint="eastAsia"/>
                <w:color w:val="auto"/>
                <w:sz w:val="24"/>
                <w:szCs w:val="22"/>
                <w:highlight w:val="none"/>
              </w:rPr>
              <w:t>时间及成果提交方案，切合实际</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color w:val="auto"/>
                <w:sz w:val="24"/>
                <w:szCs w:val="22"/>
                <w:highlight w:val="none"/>
              </w:rPr>
            </w:pPr>
            <w:r>
              <w:rPr>
                <w:rFonts w:hint="eastAsia"/>
                <w:color w:val="auto"/>
                <w:sz w:val="24"/>
                <w:szCs w:val="22"/>
                <w:highlight w:val="none"/>
              </w:rPr>
              <w:t>1、</w:t>
            </w:r>
            <w:r>
              <w:rPr>
                <w:rFonts w:hint="eastAsia"/>
                <w:color w:val="auto"/>
                <w:sz w:val="24"/>
                <w:szCs w:val="22"/>
                <w:highlight w:val="none"/>
                <w:lang w:eastAsia="zh-CN"/>
              </w:rPr>
              <w:t>整体</w:t>
            </w:r>
            <w:r>
              <w:rPr>
                <w:rFonts w:hint="eastAsia"/>
                <w:color w:val="auto"/>
                <w:sz w:val="24"/>
                <w:szCs w:val="22"/>
                <w:highlight w:val="none"/>
              </w:rPr>
              <w:t>实施方案制定详细、针对性强、专业服务经验丰富，方案操作性强的，得15分；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color w:val="auto"/>
                <w:sz w:val="24"/>
                <w:szCs w:val="22"/>
                <w:highlight w:val="none"/>
              </w:rPr>
            </w:pPr>
            <w:r>
              <w:rPr>
                <w:rFonts w:hint="eastAsia"/>
                <w:color w:val="auto"/>
                <w:sz w:val="24"/>
                <w:szCs w:val="22"/>
                <w:highlight w:val="none"/>
              </w:rPr>
              <w:t>2、</w:t>
            </w:r>
            <w:r>
              <w:rPr>
                <w:rFonts w:hint="eastAsia"/>
                <w:color w:val="auto"/>
                <w:sz w:val="24"/>
                <w:szCs w:val="22"/>
                <w:highlight w:val="none"/>
                <w:lang w:eastAsia="zh-CN"/>
              </w:rPr>
              <w:t>整体</w:t>
            </w:r>
            <w:r>
              <w:rPr>
                <w:rFonts w:hint="eastAsia"/>
                <w:color w:val="auto"/>
                <w:sz w:val="24"/>
                <w:szCs w:val="22"/>
                <w:highlight w:val="none"/>
              </w:rPr>
              <w:t>实施方案制定详细、有一定的针对性、专业服务经验较丰富，方案可操作的，得10分；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color w:val="auto"/>
                <w:sz w:val="24"/>
                <w:szCs w:val="22"/>
                <w:highlight w:val="none"/>
              </w:rPr>
            </w:pPr>
            <w:r>
              <w:rPr>
                <w:rFonts w:hint="eastAsia"/>
                <w:color w:val="auto"/>
                <w:sz w:val="24"/>
                <w:szCs w:val="22"/>
                <w:highlight w:val="none"/>
              </w:rPr>
              <w:t>3、</w:t>
            </w:r>
            <w:r>
              <w:rPr>
                <w:rFonts w:hint="eastAsia"/>
                <w:color w:val="auto"/>
                <w:sz w:val="24"/>
                <w:szCs w:val="22"/>
                <w:highlight w:val="none"/>
                <w:lang w:eastAsia="zh-CN"/>
              </w:rPr>
              <w:t>整体</w:t>
            </w:r>
            <w:r>
              <w:rPr>
                <w:rFonts w:hint="eastAsia"/>
                <w:color w:val="auto"/>
                <w:sz w:val="24"/>
                <w:szCs w:val="22"/>
                <w:highlight w:val="none"/>
              </w:rPr>
              <w:t>实施方案针对性不强、相关专业服务经验较少，方案具有一定的操作性的，得5分；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color w:val="auto"/>
                <w:sz w:val="24"/>
                <w:szCs w:val="22"/>
                <w:highlight w:val="none"/>
              </w:rPr>
            </w:pPr>
            <w:r>
              <w:rPr>
                <w:rFonts w:hint="eastAsia"/>
                <w:color w:val="auto"/>
                <w:sz w:val="24"/>
                <w:szCs w:val="22"/>
                <w:highlight w:val="none"/>
              </w:rPr>
              <w:t>4、</w:t>
            </w:r>
            <w:r>
              <w:rPr>
                <w:rFonts w:hint="eastAsia"/>
                <w:color w:val="auto"/>
                <w:sz w:val="24"/>
                <w:szCs w:val="22"/>
                <w:highlight w:val="none"/>
                <w:lang w:eastAsia="zh-CN"/>
              </w:rPr>
              <w:t>整体</w:t>
            </w:r>
            <w:r>
              <w:rPr>
                <w:rFonts w:hint="eastAsia"/>
                <w:color w:val="auto"/>
                <w:sz w:val="24"/>
                <w:szCs w:val="22"/>
                <w:highlight w:val="none"/>
              </w:rPr>
              <w:t>实施方案简单笼统、针对性弱、专业服务经验少或没有，方案操作性差的，得1分；</w:t>
            </w:r>
          </w:p>
          <w:p>
            <w:pPr>
              <w:pStyle w:val="39"/>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left"/>
              <w:textAlignment w:val="auto"/>
              <w:rPr>
                <w:rFonts w:hint="eastAsia" w:ascii="宋体" w:hAnsi="Calibri" w:eastAsia="宋体" w:cs="宋体"/>
                <w:kern w:val="0"/>
                <w:sz w:val="24"/>
                <w:szCs w:val="24"/>
                <w:highlight w:val="none"/>
                <w:lang w:val="en-US" w:eastAsia="zh-CN" w:bidi="ar-SA"/>
              </w:rPr>
            </w:pPr>
            <w:r>
              <w:rPr>
                <w:rFonts w:hint="eastAsia"/>
                <w:color w:val="auto"/>
                <w:sz w:val="24"/>
                <w:szCs w:val="22"/>
                <w:highlight w:val="none"/>
              </w:rPr>
              <w:t>5、未按要求提供或提供内容不清晰无法判断的不得分。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8"/>
              </w:numPr>
              <w:jc w:val="center"/>
              <w:rPr>
                <w:rFonts w:hint="eastAsia" w:asciiTheme="minorEastAsia" w:hAnsiTheme="minorEastAsia" w:eastAsiaTheme="minorEastAsia" w:cstheme="minorEastAsia"/>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eastAsia="zh-CN"/>
              </w:rPr>
              <w:t>项目重点难点分析</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default"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eastAsia="zh-CN"/>
              </w:rPr>
              <w:t>1</w:t>
            </w:r>
            <w:r>
              <w:rPr>
                <w:rFonts w:hint="eastAsia" w:ascii="宋体" w:hAnsi="Times New Roman" w:eastAsia="宋体"/>
                <w:color w:val="auto"/>
                <w:sz w:val="24"/>
                <w:szCs w:val="22"/>
                <w:highlight w:val="none"/>
                <w:lang w:val="en-US" w:eastAsia="zh-CN"/>
              </w:rPr>
              <w:t>5</w:t>
            </w:r>
          </w:p>
        </w:tc>
        <w:tc>
          <w:tcPr>
            <w:tcW w:w="6630" w:type="dxa"/>
            <w:tcBorders>
              <w:top w:val="single" w:color="auto" w:sz="4" w:space="0"/>
              <w:left w:val="single" w:color="auto" w:sz="4" w:space="0"/>
              <w:bottom w:val="single" w:color="auto" w:sz="4" w:space="0"/>
              <w:right w:val="single" w:color="auto" w:sz="4" w:space="0"/>
            </w:tcBorders>
            <w:noWrap w:val="0"/>
            <w:vAlign w:val="top"/>
          </w:tcPr>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根据投标人的响应情况（包括但不限于对项目管理的重点难点分析、应对措施及合理化建议等方面）进行评审：</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1、具有符合本项目管理重点难点分析，内容详细，对策措施针对性、合理性强，得1</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lang w:eastAsia="zh-CN"/>
              </w:rPr>
              <w:t>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2、重点难点分析相对全面，内容全面，对策措施具有一定效果及可行性，得</w:t>
            </w:r>
            <w:r>
              <w:rPr>
                <w:rFonts w:hint="eastAsia" w:ascii="宋体" w:hAnsi="宋体" w:eastAsia="宋体" w:cs="宋体"/>
                <w:color w:val="auto"/>
                <w:sz w:val="24"/>
                <w:szCs w:val="22"/>
                <w:highlight w:val="none"/>
                <w:lang w:val="en-US" w:eastAsia="zh-CN"/>
              </w:rPr>
              <w:t>10</w:t>
            </w:r>
            <w:r>
              <w:rPr>
                <w:rFonts w:hint="eastAsia" w:ascii="宋体" w:hAnsi="宋体" w:eastAsia="宋体" w:cs="宋体"/>
                <w:color w:val="auto"/>
                <w:sz w:val="24"/>
                <w:szCs w:val="22"/>
                <w:highlight w:val="none"/>
                <w:lang w:eastAsia="zh-CN"/>
              </w:rPr>
              <w:t>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3、重点难点分析不完全准确，内容简略，对策措施针对性及可行性较差，得</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lang w:eastAsia="zh-CN"/>
              </w:rPr>
              <w:t>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4、重点难点分析不准确，内容简略，对策措施针对性及可行性差，得1分；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Times New Roman" w:eastAsia="宋体"/>
                <w:color w:val="auto"/>
                <w:sz w:val="24"/>
                <w:szCs w:val="22"/>
                <w:highlight w:val="none"/>
                <w:lang w:eastAsia="zh-CN"/>
              </w:rPr>
            </w:pPr>
            <w:r>
              <w:rPr>
                <w:rFonts w:hint="eastAsia" w:ascii="宋体" w:hAnsi="宋体" w:eastAsia="宋体" w:cs="宋体"/>
                <w:color w:val="auto"/>
                <w:sz w:val="24"/>
                <w:szCs w:val="22"/>
                <w:highlight w:val="none"/>
                <w:lang w:eastAsia="zh-CN"/>
              </w:rPr>
              <w:t>5、未按要求提供或提供内容不清晰无法判断的不得分。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8"/>
              </w:numPr>
              <w:jc w:val="center"/>
              <w:rPr>
                <w:rFonts w:hint="eastAsia" w:asciiTheme="minorEastAsia" w:hAnsiTheme="minorEastAsia" w:eastAsiaTheme="minorEastAsia" w:cstheme="minorEastAsia"/>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eastAsia="zh-CN"/>
              </w:rPr>
            </w:pPr>
            <w:r>
              <w:rPr>
                <w:rFonts w:hint="eastAsia" w:ascii="宋体" w:hAnsi="Times New Roman" w:eastAsia="宋体"/>
                <w:color w:val="auto"/>
                <w:sz w:val="24"/>
                <w:szCs w:val="22"/>
                <w:highlight w:val="none"/>
                <w:lang w:eastAsia="zh-CN"/>
              </w:rPr>
              <w:t>质量进度保障措施及方案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default"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val="en-US" w:eastAsia="zh-CN"/>
              </w:rPr>
              <w:t>15</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Times New Roman" w:eastAsia="宋体"/>
                <w:color w:val="auto"/>
                <w:sz w:val="24"/>
                <w:szCs w:val="22"/>
                <w:highlight w:val="none"/>
                <w:lang w:eastAsia="zh-CN"/>
              </w:rPr>
              <w:t>根</w:t>
            </w:r>
            <w:r>
              <w:rPr>
                <w:rFonts w:hint="eastAsia" w:ascii="宋体" w:hAnsi="宋体" w:eastAsia="宋体" w:cs="宋体"/>
                <w:color w:val="auto"/>
                <w:sz w:val="24"/>
                <w:szCs w:val="22"/>
                <w:highlight w:val="none"/>
                <w:lang w:eastAsia="zh-CN"/>
              </w:rPr>
              <w:t>据投标人的质量进度保证体系、质量进度保障措施方案进行评审：</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 xml:space="preserve">1、质量进度保证体系健全，制度完善，措施齐全、质量进度保障措施可行度高的，得 </w:t>
            </w:r>
            <w:r>
              <w:rPr>
                <w:rFonts w:hint="eastAsia" w:ascii="宋体" w:hAnsi="宋体" w:eastAsia="宋体" w:cs="宋体"/>
                <w:color w:val="auto"/>
                <w:sz w:val="24"/>
                <w:szCs w:val="22"/>
                <w:highlight w:val="none"/>
                <w:lang w:val="en-US" w:eastAsia="zh-CN"/>
              </w:rPr>
              <w:t>15</w:t>
            </w:r>
            <w:r>
              <w:rPr>
                <w:rFonts w:hint="eastAsia" w:ascii="宋体" w:hAnsi="宋体" w:eastAsia="宋体" w:cs="宋体"/>
                <w:color w:val="auto"/>
                <w:sz w:val="24"/>
                <w:szCs w:val="22"/>
                <w:highlight w:val="none"/>
                <w:lang w:eastAsia="zh-CN"/>
              </w:rPr>
              <w:t xml:space="preserve"> 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 xml:space="preserve">2、质量进度保证体系健全，制度较完善，质量进度保障措施可行度较高的，得 </w:t>
            </w:r>
            <w:r>
              <w:rPr>
                <w:rFonts w:hint="eastAsia" w:ascii="宋体" w:hAnsi="宋体" w:eastAsia="宋体" w:cs="宋体"/>
                <w:color w:val="auto"/>
                <w:sz w:val="24"/>
                <w:szCs w:val="22"/>
                <w:highlight w:val="none"/>
                <w:lang w:val="en-US" w:eastAsia="zh-CN"/>
              </w:rPr>
              <w:t>10</w:t>
            </w:r>
            <w:r>
              <w:rPr>
                <w:rFonts w:hint="eastAsia" w:ascii="宋体" w:hAnsi="宋体" w:eastAsia="宋体" w:cs="宋体"/>
                <w:color w:val="auto"/>
                <w:sz w:val="24"/>
                <w:szCs w:val="22"/>
                <w:highlight w:val="none"/>
                <w:lang w:eastAsia="zh-CN"/>
              </w:rPr>
              <w:t>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 xml:space="preserve">3、质量进度保证体系、质量进度保障措施可行度一般的，得 </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lang w:eastAsia="zh-CN"/>
              </w:rPr>
              <w:t xml:space="preserve"> 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 xml:space="preserve">4、质量进度保证体系、质量进度保障措施可行度差、不合理的，得 </w:t>
            </w:r>
            <w:r>
              <w:rPr>
                <w:rFonts w:hint="eastAsia" w:ascii="宋体" w:hAnsi="宋体" w:eastAsia="宋体" w:cs="宋体"/>
                <w:color w:val="auto"/>
                <w:sz w:val="24"/>
                <w:szCs w:val="22"/>
                <w:highlight w:val="none"/>
                <w:lang w:val="en-US" w:eastAsia="zh-CN"/>
              </w:rPr>
              <w:t>1</w:t>
            </w:r>
            <w:r>
              <w:rPr>
                <w:rFonts w:hint="eastAsia" w:ascii="宋体" w:hAnsi="宋体" w:eastAsia="宋体" w:cs="宋体"/>
                <w:color w:val="auto"/>
                <w:sz w:val="24"/>
                <w:szCs w:val="22"/>
                <w:highlight w:val="none"/>
                <w:lang w:eastAsia="zh-CN"/>
              </w:rPr>
              <w:t xml:space="preserve"> 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Times New Roman" w:eastAsia="宋体"/>
                <w:color w:val="auto"/>
                <w:sz w:val="24"/>
                <w:szCs w:val="22"/>
                <w:highlight w:val="none"/>
                <w:lang w:eastAsia="zh-CN"/>
              </w:rPr>
            </w:pPr>
            <w:r>
              <w:rPr>
                <w:rFonts w:hint="eastAsia" w:ascii="宋体" w:hAnsi="宋体" w:eastAsia="宋体" w:cs="宋体"/>
                <w:color w:val="auto"/>
                <w:sz w:val="24"/>
                <w:szCs w:val="22"/>
                <w:highlight w:val="none"/>
                <w:lang w:eastAsia="zh-CN"/>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8"/>
              </w:numPr>
              <w:jc w:val="center"/>
              <w:rPr>
                <w:rFonts w:hint="eastAsia" w:asciiTheme="minorEastAsia" w:hAnsiTheme="minorEastAsia" w:eastAsiaTheme="minorEastAsia" w:cstheme="minorEastAsia"/>
                <w:color w:val="auto"/>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eastAsia="zh-CN"/>
              </w:rPr>
            </w:pPr>
            <w:r>
              <w:rPr>
                <w:rFonts w:hint="eastAsia" w:ascii="宋体" w:hAnsi="Times New Roman" w:eastAsia="宋体"/>
                <w:color w:val="auto"/>
                <w:sz w:val="24"/>
                <w:szCs w:val="22"/>
                <w:highlight w:val="none"/>
                <w:lang w:eastAsia="zh-CN"/>
              </w:rPr>
              <w:t>服务响应速度及保证措施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baseline"/>
              <w:rPr>
                <w:rFonts w:hint="eastAsia" w:ascii="宋体" w:hAnsi="Times New Roman" w:eastAsia="宋体"/>
                <w:color w:val="auto"/>
                <w:sz w:val="24"/>
                <w:szCs w:val="22"/>
                <w:highlight w:val="none"/>
                <w:lang w:val="en-US" w:eastAsia="zh-CN"/>
              </w:rPr>
            </w:pPr>
            <w:r>
              <w:rPr>
                <w:rFonts w:hint="eastAsia" w:ascii="宋体" w:hAnsi="Times New Roman" w:eastAsia="宋体"/>
                <w:color w:val="auto"/>
                <w:sz w:val="24"/>
                <w:szCs w:val="22"/>
                <w:highlight w:val="none"/>
                <w:lang w:val="en-US" w:eastAsia="zh-CN"/>
              </w:rPr>
              <w:t>10</w:t>
            </w:r>
          </w:p>
        </w:tc>
        <w:tc>
          <w:tcPr>
            <w:tcW w:w="663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根据各投标人提供的</w:t>
            </w:r>
            <w:r>
              <w:rPr>
                <w:rFonts w:hint="eastAsia" w:ascii="宋体" w:hAnsi="宋体" w:eastAsia="宋体" w:cs="宋体"/>
                <w:color w:val="auto"/>
                <w:sz w:val="24"/>
                <w:szCs w:val="22"/>
                <w:highlight w:val="none"/>
                <w:lang w:eastAsia="zh-CN"/>
              </w:rPr>
              <w:t>服务响应速度及保证措施</w:t>
            </w:r>
            <w:r>
              <w:rPr>
                <w:rFonts w:hint="eastAsia" w:ascii="宋体" w:hAnsi="宋体" w:eastAsia="宋体" w:cs="宋体"/>
                <w:color w:val="auto"/>
                <w:sz w:val="24"/>
                <w:szCs w:val="22"/>
                <w:highlight w:val="none"/>
              </w:rPr>
              <w:t>进行评审</w:t>
            </w:r>
            <w:r>
              <w:rPr>
                <w:rFonts w:hint="eastAsia" w:ascii="宋体" w:hAnsi="宋体" w:eastAsia="宋体" w:cs="宋体"/>
                <w:color w:val="auto"/>
                <w:sz w:val="24"/>
                <w:szCs w:val="22"/>
                <w:highlight w:val="none"/>
                <w:lang w:eastAsia="zh-CN"/>
              </w:rPr>
              <w:t>：</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服务响应速度迅速，保证措施计划条理性高，</w:t>
            </w:r>
            <w:r>
              <w:rPr>
                <w:rFonts w:hint="eastAsia" w:ascii="宋体" w:hAnsi="宋体" w:eastAsia="宋体" w:cs="宋体"/>
                <w:color w:val="auto"/>
                <w:sz w:val="24"/>
                <w:szCs w:val="22"/>
                <w:highlight w:val="none"/>
              </w:rPr>
              <w:t>得</w:t>
            </w:r>
            <w:r>
              <w:rPr>
                <w:rFonts w:hint="eastAsia" w:ascii="宋体" w:hAnsi="宋体" w:eastAsia="宋体" w:cs="宋体"/>
                <w:color w:val="auto"/>
                <w:sz w:val="24"/>
                <w:szCs w:val="22"/>
                <w:highlight w:val="none"/>
                <w:lang w:val="en-US" w:eastAsia="zh-CN"/>
              </w:rPr>
              <w:t>10</w:t>
            </w:r>
            <w:r>
              <w:rPr>
                <w:rFonts w:hint="eastAsia" w:ascii="宋体" w:hAnsi="宋体" w:eastAsia="宋体" w:cs="宋体"/>
                <w:color w:val="auto"/>
                <w:sz w:val="24"/>
                <w:szCs w:val="22"/>
                <w:highlight w:val="none"/>
              </w:rPr>
              <w:t>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服务响应速度较快，保证措施计划条理性较高，</w:t>
            </w:r>
            <w:r>
              <w:rPr>
                <w:rFonts w:hint="eastAsia" w:ascii="宋体" w:hAnsi="宋体" w:eastAsia="宋体" w:cs="宋体"/>
                <w:color w:val="auto"/>
                <w:sz w:val="24"/>
                <w:szCs w:val="22"/>
                <w:highlight w:val="none"/>
              </w:rPr>
              <w:t>得</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服务响应速度一般，保证措施计划条理性一般，</w:t>
            </w:r>
            <w:r>
              <w:rPr>
                <w:rFonts w:hint="eastAsia" w:ascii="宋体" w:hAnsi="宋体" w:eastAsia="宋体" w:cs="宋体"/>
                <w:color w:val="auto"/>
                <w:sz w:val="24"/>
                <w:szCs w:val="22"/>
                <w:highlight w:val="none"/>
              </w:rPr>
              <w:t>得</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服务响应速度较慢，保证措施计划条理性较低，</w:t>
            </w:r>
            <w:r>
              <w:rPr>
                <w:rFonts w:hint="eastAsia" w:ascii="宋体" w:hAnsi="宋体" w:eastAsia="宋体" w:cs="宋体"/>
                <w:color w:val="auto"/>
                <w:sz w:val="24"/>
                <w:szCs w:val="22"/>
                <w:highlight w:val="none"/>
              </w:rPr>
              <w:t>得</w:t>
            </w:r>
            <w:r>
              <w:rPr>
                <w:rFonts w:hint="eastAsia" w:ascii="宋体" w:hAnsi="宋体" w:eastAsia="宋体" w:cs="宋体"/>
                <w:color w:val="auto"/>
                <w:sz w:val="24"/>
                <w:szCs w:val="22"/>
                <w:highlight w:val="none"/>
                <w:lang w:val="en-US" w:eastAsia="zh-CN"/>
              </w:rPr>
              <w:t>1</w:t>
            </w:r>
            <w:r>
              <w:rPr>
                <w:rFonts w:hint="eastAsia" w:ascii="宋体" w:hAnsi="宋体" w:eastAsia="宋体" w:cs="宋体"/>
                <w:color w:val="auto"/>
                <w:sz w:val="24"/>
                <w:szCs w:val="22"/>
                <w:highlight w:val="none"/>
              </w:rPr>
              <w:t>分；</w:t>
            </w:r>
          </w:p>
          <w:p>
            <w:pPr>
              <w:pStyle w:val="39"/>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不提供不得分</w:t>
            </w:r>
            <w:r>
              <w:rPr>
                <w:rFonts w:hint="eastAsia" w:ascii="宋体" w:hAnsi="宋体" w:eastAsia="宋体" w:cs="宋体"/>
                <w:color w:val="auto"/>
                <w:sz w:val="24"/>
                <w:szCs w:val="22"/>
                <w:highlight w:val="none"/>
              </w:rPr>
              <w:t>。</w:t>
            </w:r>
          </w:p>
        </w:tc>
      </w:tr>
    </w:tbl>
    <w:p>
      <w:p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p>
    <w:p>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价格部分评分：（10分）</w:t>
      </w:r>
    </w:p>
    <w:tbl>
      <w:tblPr>
        <w:tblStyle w:val="24"/>
        <w:tblW w:w="9540" w:type="dxa"/>
        <w:tblInd w:w="108" w:type="dxa"/>
        <w:tblLayout w:type="fixed"/>
        <w:tblCellMar>
          <w:top w:w="0" w:type="dxa"/>
          <w:left w:w="108" w:type="dxa"/>
          <w:bottom w:w="0" w:type="dxa"/>
          <w:right w:w="108" w:type="dxa"/>
        </w:tblCellMar>
      </w:tblPr>
      <w:tblGrid>
        <w:gridCol w:w="718"/>
        <w:gridCol w:w="720"/>
        <w:gridCol w:w="7022"/>
        <w:gridCol w:w="1080"/>
      </w:tblGrid>
      <w:tr>
        <w:tblPrEx>
          <w:tblCellMar>
            <w:top w:w="0" w:type="dxa"/>
            <w:left w:w="108" w:type="dxa"/>
            <w:bottom w:w="0" w:type="dxa"/>
            <w:right w:w="108" w:type="dxa"/>
          </w:tblCellMar>
        </w:tblPrEx>
        <w:trPr>
          <w:trHeight w:val="757" w:hRule="atLeast"/>
        </w:trPr>
        <w:tc>
          <w:tcPr>
            <w:tcW w:w="718"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w:t>
            </w:r>
          </w:p>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内容</w:t>
            </w:r>
          </w:p>
        </w:tc>
        <w:tc>
          <w:tcPr>
            <w:tcW w:w="72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权重值</w:t>
            </w:r>
          </w:p>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w:t>
            </w:r>
          </w:p>
        </w:tc>
        <w:tc>
          <w:tcPr>
            <w:tcW w:w="7022"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  审  子  项</w:t>
            </w:r>
          </w:p>
        </w:tc>
        <w:tc>
          <w:tcPr>
            <w:tcW w:w="108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满分值</w:t>
            </w:r>
          </w:p>
        </w:tc>
      </w:tr>
      <w:tr>
        <w:tblPrEx>
          <w:tblCellMar>
            <w:top w:w="0" w:type="dxa"/>
            <w:left w:w="108" w:type="dxa"/>
            <w:bottom w:w="0" w:type="dxa"/>
            <w:right w:w="108" w:type="dxa"/>
          </w:tblCellMar>
        </w:tblPrEx>
        <w:trPr>
          <w:cantSplit/>
          <w:trHeight w:val="794"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价格部分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highlight w:val="none"/>
              </w:rPr>
              <w:t>10%</w:t>
            </w:r>
          </w:p>
        </w:tc>
        <w:tc>
          <w:tcPr>
            <w:tcW w:w="70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价格分统一采用低价优先法计算，即满足采购文件要求（通过资格性、符合性审查）且投标价格最低的有效投标报价（指修正后报价，下同）为评标基准价，其价格分为满分。其他供应商的价格分统一按照下列公式计算：</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投标报价得分=(评标基准价/投标报价)×价格权值×100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10分</w:t>
            </w:r>
          </w:p>
        </w:tc>
      </w:tr>
    </w:tbl>
    <w:p>
      <w:pPr>
        <w:spacing w:line="348"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1）.价格修正：投标人的投标报价中经评标委员会确定为供货范围（包括货物、工程和服务）缺漏项，而进行调整的，调整价为该项目在其他有效投标中的最高报价。</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2）.评标委员会将按照上述修正错误的方法调整该投标人的投标文件中的投标报价，调整后的价格对投标人具有约束力。如果投标人不接受修正后的投标价格，则其投标将被拒绝。</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3）.落实的政府采购政策</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根据财政部、工业和信息化部印发的《政府采购促进中小企业发展管理办法》（财库[2020]46号）的规定，对小型和微型企业产品的价格给予6%的扣除，用扣除后的价格参与评审；投标产品中仅有部分小型和微型企业产品的，则此部分所投小型和微型企业产品的价格不享受本办法规定的中小企业扶持政策。</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3.2）《政府采购促进中小企业发展管理办法》所称中小企业（含中型、小型、微型企业，下同）应当符合以下条件：</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3.2.1）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3.2.2）在政府采购活动中，供应商提供的货物、工程或者服务符合下列情形的，享受本办法规定的中小企业扶持政策：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中小企业划分标准以《工业和信息化部、国家统计局、国家发展和改革委员会、财政部关于印发中小企业划型标准规定的通知》（工信部联企业[2011]300号）规定的划分标准为准。</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小型、微型企业提供中型企业制造的货物的，视同为中型企业。</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3.3）参加政府采购活动的如投标人为非制造商，其代理产品的制造商为中小微型企业，应提交制造商的《中小企业声明函》，否则评审时不能享受相应的价格扣除。</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3.4）监狱企业产品价格扣除</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3.4.1）监狱企业视同小型、微型企业，按上述3.1）、3.2）条款享受评审中价格扣除。</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3.4.3）监狱企业参加政府采购活动时，应当提供由省级以上监狱管理局、戒毒管理局（含新疆生产建设兵团）出具的属于监狱企业的证明文件，否则不予认可。</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3.5）残疾人福利性单位产品价格扣除</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3.5.1）残疾人福利性单位视同小型、微型企业，按上述3.1）、3.2）条款享受评审中价格扣除。</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3.5.2）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政府采购法》第七十七条第一款的规定追究法律责任。</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3.6）根据《转发财政部 发展改革委 生态环境部 市场监管总局关于调整优化节能产品 环境标志产品政府采购执行机制的通知》（粤財采[2019] 1号）的规定，对节能产品、环境标志产品的价格给予1%的扣除，用扣除后的价格参与评审；投标产品中仅有部分节能产品、环境标志产品的，则此部分按所投节能产品、环境标志产品的价格予以扣除。</w:t>
      </w:r>
    </w:p>
    <w:p>
      <w:pPr>
        <w:pStyle w:val="21"/>
        <w:spacing w:line="348"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4）.投标人同时为小型、微型企业、监狱企业、残疾人福利性单位任两种或以上情况的，评审中只享受一次价格扣除，不重复进行价格扣除。</w:t>
      </w:r>
    </w:p>
    <w:p>
      <w:pPr>
        <w:spacing w:line="348" w:lineRule="auto"/>
        <w:rPr>
          <w:rFonts w:hint="eastAsia" w:asciiTheme="minorEastAsia" w:hAnsiTheme="minorEastAsia" w:eastAsiaTheme="minorEastAsia" w:cstheme="minorEastAsia"/>
          <w:color w:val="auto"/>
          <w:sz w:val="24"/>
          <w:highlight w:val="none"/>
        </w:rPr>
      </w:pPr>
    </w:p>
    <w:p>
      <w:pPr>
        <w:numPr>
          <w:ilvl w:val="2"/>
          <w:numId w:val="19"/>
        </w:numPr>
        <w:spacing w:line="348" w:lineRule="auto"/>
        <w:ind w:left="709" w:leftChars="0" w:hanging="709"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经磋商小组审核，满足采购文件要求且进行了政策性价格扣除后，以评审价格的最低价者定为评标基准价，其价格分为满分。其他供应商的价格分统一按下列公式折算递减。即：</w:t>
      </w:r>
    </w:p>
    <w:p>
      <w:pPr>
        <w:spacing w:line="348" w:lineRule="auto"/>
        <w:ind w:firstLine="735" w:firstLineChars="3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评标基准价 = 评审价格的最低价 = 权重分配价格部分满分</w:t>
      </w:r>
    </w:p>
    <w:p>
      <w:pPr>
        <w:spacing w:line="348" w:lineRule="auto"/>
        <w:ind w:firstLine="735" w:firstLineChars="3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其他报价得分 =  (评标基准价÷评审价格) ×权重分配价格部分满分</w:t>
      </w:r>
    </w:p>
    <w:p>
      <w:pPr>
        <w:numPr>
          <w:ilvl w:val="1"/>
          <w:numId w:val="19"/>
        </w:numPr>
        <w:spacing w:line="348" w:lineRule="auto"/>
        <w:ind w:left="624" w:leftChars="0" w:hanging="624"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评分汇总</w:t>
      </w:r>
    </w:p>
    <w:p>
      <w:pPr>
        <w:spacing w:line="348" w:lineRule="auto"/>
        <w:ind w:left="210" w:leftChars="10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技术总分＝ 各评委评分总和 ÷ 评委人数</w:t>
      </w:r>
    </w:p>
    <w:p>
      <w:pPr>
        <w:spacing w:line="348" w:lineRule="auto"/>
        <w:ind w:left="210" w:leftChars="10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商务总分＝ 各评委评分总和 ÷ 评委人数</w:t>
      </w:r>
    </w:p>
    <w:p>
      <w:pPr>
        <w:spacing w:line="348" w:lineRule="auto"/>
        <w:ind w:left="210" w:leftChars="10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价格总分＝ 统一公式计算得分</w:t>
      </w:r>
    </w:p>
    <w:p>
      <w:pPr>
        <w:spacing w:line="348" w:lineRule="auto"/>
        <w:ind w:left="210" w:leftChars="100" w:firstLine="413"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综合总分</w:t>
      </w:r>
      <w:r>
        <w:rPr>
          <w:rFonts w:hint="eastAsia" w:asciiTheme="minorEastAsia" w:hAnsiTheme="minorEastAsia" w:eastAsiaTheme="minorEastAsia" w:cstheme="minorEastAsia"/>
          <w:b/>
          <w:bCs/>
          <w:color w:val="auto"/>
          <w:highlight w:val="none"/>
        </w:rPr>
        <w:t>＝技术总分+商务总分+价格总分</w:t>
      </w:r>
    </w:p>
    <w:p>
      <w:pPr>
        <w:spacing w:line="348" w:lineRule="auto"/>
        <w:ind w:firstLine="840" w:firstLine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（每次评分汇总均精确到二位小数）</w:t>
      </w:r>
      <w:r>
        <w:rPr>
          <w:rFonts w:hint="eastAsia" w:asciiTheme="minorEastAsia" w:hAnsiTheme="minorEastAsia" w:eastAsiaTheme="minorEastAsia" w:cstheme="minorEastAsia"/>
          <w:b/>
          <w:bCs/>
          <w:color w:val="auto"/>
          <w:highlight w:val="none"/>
        </w:rPr>
        <w:t xml:space="preserve"> </w:t>
      </w:r>
    </w:p>
    <w:p>
      <w:pPr>
        <w:numPr>
          <w:ilvl w:val="0"/>
          <w:numId w:val="19"/>
        </w:numPr>
        <w:spacing w:before="240" w:beforeLines="100" w:after="120" w:afterLines="50" w:line="348" w:lineRule="auto"/>
        <w:ind w:left="624" w:leftChars="0" w:hanging="624" w:firstLineChars="0"/>
        <w:rPr>
          <w:rFonts w:hint="eastAsia" w:asciiTheme="minorEastAsia" w:hAnsiTheme="minorEastAsia" w:eastAsiaTheme="minorEastAsia" w:cstheme="minorEastAsia"/>
          <w:b/>
          <w:color w:val="auto"/>
          <w:sz w:val="24"/>
          <w:szCs w:val="24"/>
          <w:highlight w:val="none"/>
        </w:rPr>
      </w:pPr>
      <w:bookmarkStart w:id="242" w:name="_Toc159385064"/>
      <w:bookmarkStart w:id="243" w:name="_Toc136682905"/>
      <w:bookmarkStart w:id="244" w:name="_Toc136662929"/>
      <w:bookmarkStart w:id="245" w:name="_Toc119321140"/>
      <w:r>
        <w:rPr>
          <w:rFonts w:hint="eastAsia" w:asciiTheme="minorEastAsia" w:hAnsiTheme="minorEastAsia" w:eastAsiaTheme="minorEastAsia" w:cstheme="minorEastAsia"/>
          <w:b/>
          <w:color w:val="auto"/>
          <w:sz w:val="24"/>
          <w:szCs w:val="24"/>
          <w:highlight w:val="none"/>
        </w:rPr>
        <w:t>推荐结果</w:t>
      </w:r>
      <w:bookmarkEnd w:id="242"/>
      <w:bookmarkEnd w:id="243"/>
      <w:bookmarkEnd w:id="244"/>
      <w:bookmarkEnd w:id="245"/>
    </w:p>
    <w:p>
      <w:pPr>
        <w:numPr>
          <w:ilvl w:val="1"/>
          <w:numId w:val="19"/>
        </w:numPr>
        <w:spacing w:line="348" w:lineRule="auto"/>
        <w:ind w:left="624" w:leftChars="0" w:hanging="624"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磋商小组按照本文件评审流程的规定推荐出评审结果。</w:t>
      </w:r>
    </w:p>
    <w:p>
      <w:pPr>
        <w:numPr>
          <w:ilvl w:val="1"/>
          <w:numId w:val="19"/>
        </w:numPr>
        <w:spacing w:line="348" w:lineRule="auto"/>
        <w:ind w:left="624" w:leftChars="0" w:hanging="624"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若候选人综合总分相同时，则依次序以价格总分、技术总分、商务总分分别进行比对，前单项最高分者优先选录。</w:t>
      </w:r>
    </w:p>
    <w:p>
      <w:pPr>
        <w:numPr>
          <w:ilvl w:val="1"/>
          <w:numId w:val="19"/>
        </w:numPr>
        <w:spacing w:line="348" w:lineRule="auto"/>
        <w:ind w:left="624" w:leftChars="0" w:hanging="624"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评审过程中涉及和产生的所有程序文件、评审意见、表决意见和推荐意见等均须由磋商小组成员签名确认。</w:t>
      </w:r>
    </w:p>
    <w:p>
      <w:pPr>
        <w:numPr>
          <w:ilvl w:val="0"/>
          <w:numId w:val="20"/>
        </w:numPr>
        <w:tabs>
          <w:tab w:val="left" w:pos="540"/>
        </w:tabs>
        <w:jc w:val="center"/>
        <w:rPr>
          <w:rFonts w:hint="eastAsia" w:asciiTheme="minorEastAsia" w:hAnsiTheme="minorEastAsia" w:eastAsiaTheme="minorEastAsia" w:cstheme="minorEastAsia"/>
          <w:color w:val="auto"/>
          <w:sz w:val="32"/>
          <w:highlight w:val="none"/>
        </w:rPr>
      </w:pPr>
      <w:r>
        <w:rPr>
          <w:rFonts w:hint="eastAsia" w:asciiTheme="minorEastAsia" w:hAnsiTheme="minorEastAsia" w:eastAsiaTheme="minorEastAsia" w:cstheme="minorEastAsia"/>
          <w:color w:val="auto"/>
          <w:highlight w:val="none"/>
        </w:rPr>
        <w:br w:type="page"/>
      </w:r>
      <w:bookmarkEnd w:id="218"/>
      <w:bookmarkEnd w:id="219"/>
      <w:bookmarkEnd w:id="220"/>
      <w:bookmarkStart w:id="246" w:name="_Toc373767196"/>
      <w:bookmarkStart w:id="247" w:name="_Toc259803666"/>
      <w:bookmarkStart w:id="248" w:name="_Toc310519883"/>
      <w:bookmarkStart w:id="249" w:name="_Toc17689"/>
      <w:bookmarkStart w:id="250" w:name="_Toc29980"/>
      <w:bookmarkStart w:id="251" w:name="_Toc113157426"/>
      <w:bookmarkStart w:id="252" w:name="_Toc31821"/>
      <w:bookmarkStart w:id="253" w:name="_Toc419106560"/>
      <w:bookmarkStart w:id="254" w:name="_Toc325031939"/>
      <w:bookmarkStart w:id="255" w:name="_Toc25726405"/>
      <w:bookmarkStart w:id="256" w:name="_Toc25037541"/>
      <w:bookmarkStart w:id="257" w:name="_Toc26261452"/>
      <w:r>
        <w:rPr>
          <w:rFonts w:hint="eastAsia" w:asciiTheme="minorEastAsia" w:hAnsiTheme="minorEastAsia" w:eastAsiaTheme="minorEastAsia" w:cstheme="minorEastAsia"/>
          <w:color w:val="auto"/>
          <w:sz w:val="32"/>
          <w:highlight w:val="none"/>
        </w:rPr>
        <w:t>确定评审结果</w:t>
      </w:r>
      <w:bookmarkEnd w:id="246"/>
      <w:bookmarkEnd w:id="247"/>
      <w:bookmarkEnd w:id="248"/>
      <w:bookmarkEnd w:id="249"/>
      <w:bookmarkEnd w:id="250"/>
      <w:bookmarkEnd w:id="251"/>
      <w:bookmarkEnd w:id="252"/>
      <w:bookmarkEnd w:id="253"/>
      <w:bookmarkEnd w:id="254"/>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确定评审结果</w:t>
      </w:r>
    </w:p>
    <w:bookmarkEnd w:id="255"/>
    <w:bookmarkEnd w:id="256"/>
    <w:bookmarkEnd w:id="257"/>
    <w:p>
      <w:pPr>
        <w:spacing w:line="360" w:lineRule="auto"/>
        <w:ind w:firstLine="420" w:firstLineChars="200"/>
        <w:jc w:val="left"/>
        <w:rPr>
          <w:rFonts w:hint="eastAsia" w:asciiTheme="minorEastAsia" w:hAnsiTheme="minorEastAsia" w:eastAsiaTheme="minorEastAsia" w:cstheme="minorEastAsia"/>
          <w:color w:val="auto"/>
          <w:highlight w:val="none"/>
        </w:rPr>
      </w:pPr>
      <w:bookmarkStart w:id="258" w:name="_Toc25037542"/>
      <w:bookmarkStart w:id="259" w:name="_Toc159385067"/>
      <w:bookmarkStart w:id="260" w:name="_Toc25726406"/>
      <w:bookmarkStart w:id="261" w:name="_Toc34704912"/>
      <w:bookmarkStart w:id="262" w:name="_Toc119321143"/>
      <w:bookmarkStart w:id="263" w:name="_Toc136662932"/>
      <w:bookmarkStart w:id="264" w:name="_Toc26261453"/>
      <w:bookmarkStart w:id="265" w:name="_Toc136682908"/>
      <w:r>
        <w:rPr>
          <w:rFonts w:hint="eastAsia" w:asciiTheme="minorEastAsia" w:hAnsiTheme="minorEastAsia" w:eastAsiaTheme="minorEastAsia" w:cstheme="minorEastAsia"/>
          <w:color w:val="auto"/>
          <w:highlight w:val="none"/>
        </w:rPr>
        <w:t>采购人可事先授权磋商小组直接确定成交供应商，或在法定时间内对评审结果进行确认。评审结束后，采购代理机构根据磋商小组评审意见和前期组织情况整理出《评审报告》送交采购人。</w:t>
      </w:r>
    </w:p>
    <w:p>
      <w:pPr>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需对评审结果进行确认时，采购人可根据磋商小组推荐的成交候选供应商名单，按照采购文件的要求对成交候选供应商的主要服务和商务条款的响应程度作进一步的核实，确保响应方案能够完全满足采购文件的实质性要求，无出现重大偏离，且方案合法、真实、可行。</w:t>
      </w:r>
    </w:p>
    <w:p>
      <w:pPr>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采购人因故逾期确认评审结果时，应书面提出异议。采购人逾期未确定成交结果且不提出异议的，视为确定评审报告提出的排名第一的供应商为成交供应商。</w:t>
      </w:r>
    </w:p>
    <w:bookmarkEnd w:id="258"/>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成交通知</w:t>
      </w:r>
      <w:bookmarkEnd w:id="259"/>
      <w:bookmarkEnd w:id="260"/>
      <w:bookmarkEnd w:id="261"/>
      <w:bookmarkEnd w:id="262"/>
      <w:bookmarkEnd w:id="263"/>
      <w:bookmarkEnd w:id="264"/>
      <w:bookmarkEnd w:id="265"/>
    </w:p>
    <w:p>
      <w:pPr>
        <w:numPr>
          <w:ilvl w:val="1"/>
          <w:numId w:val="15"/>
        </w:numPr>
        <w:spacing w:line="360" w:lineRule="auto"/>
        <w:rPr>
          <w:rFonts w:hint="eastAsia" w:asciiTheme="minorEastAsia" w:hAnsiTheme="minorEastAsia" w:eastAsiaTheme="minorEastAsia" w:cstheme="minorEastAsia"/>
          <w:color w:val="auto"/>
          <w:highlight w:val="none"/>
        </w:rPr>
      </w:pPr>
      <w:bookmarkStart w:id="266" w:name="_Toc34704913"/>
      <w:bookmarkStart w:id="267" w:name="_Toc25726407"/>
      <w:bookmarkStart w:id="268" w:name="_Toc26261454"/>
      <w:bookmarkStart w:id="269" w:name="_Toc25037543"/>
      <w:bookmarkStart w:id="270" w:name="_Toc159385068"/>
      <w:bookmarkStart w:id="271" w:name="_Toc119321144"/>
      <w:bookmarkStart w:id="272" w:name="_Toc136662933"/>
      <w:bookmarkStart w:id="273" w:name="_Toc136682909"/>
      <w:r>
        <w:rPr>
          <w:rFonts w:hint="eastAsia" w:asciiTheme="minorEastAsia" w:hAnsiTheme="minorEastAsia" w:eastAsiaTheme="minorEastAsia" w:cstheme="minorEastAsia"/>
          <w:color w:val="auto"/>
          <w:highlight w:val="none"/>
        </w:rPr>
        <w:t>采购人确定评审结果后，采购代理机构将在法定时间内向成交供应商签发《成交通知书》，同时在指定媒体发布成交公告。未成交的供应商可通过指定媒体获知采购结果或到采购代理机构领取《采购结果通知书》。</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《成交通知书》将作为授予合同资格的唯一合法依据。</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在未取得合法理由而获批复前，成交人擅自放弃成交资格，则须承担相应的违约责任，并赔偿采购方由此所造成的一切经济损失。</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采购方对任何参与磋商的无效行为可追究至合同生效之前，一经被查证核实认定符合无效条件的供应商，其所获得的候选资格、成交资格均无效。</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替补候选供应商的适用情形</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在合同签订生效之前，经监管部门同意，成交供应商因故放弃成交资格，在采购人愿意采纳替补候选供应商响应方案，且报价合理的前提下，可考虑由该替补候选供应商填补为成交供应商。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若采购人不同意采纳替补候选供应商响应方案时，则本项目作采购失败处理。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若成交候选供应商及其响应文件在评审后被审查发现存有重大偏离、或没有完全实质性响应之处时，则其成交资格无效，本项目直接作采购失败处理，替补候选供应商不得填补。</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对由于不良行为而被取消成交资格者不得参与该项目的重新采购。</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w:t>
      </w:r>
      <w:bookmarkEnd w:id="266"/>
      <w:bookmarkEnd w:id="267"/>
      <w:bookmarkEnd w:id="268"/>
      <w:bookmarkEnd w:id="269"/>
      <w:r>
        <w:rPr>
          <w:rFonts w:hint="eastAsia" w:asciiTheme="minorEastAsia" w:hAnsiTheme="minorEastAsia" w:eastAsiaTheme="minorEastAsia" w:cstheme="minorEastAsia"/>
          <w:b/>
          <w:color w:val="auto"/>
          <w:sz w:val="24"/>
          <w:szCs w:val="24"/>
          <w:highlight w:val="none"/>
        </w:rPr>
        <w:t>签订、争议与跟踪</w:t>
      </w:r>
      <w:bookmarkEnd w:id="270"/>
      <w:bookmarkEnd w:id="271"/>
      <w:bookmarkEnd w:id="272"/>
      <w:bookmarkEnd w:id="273"/>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成交人应按照政府采购法的要求，于成交通知书发出之日起</w:t>
      </w:r>
      <w:r>
        <w:rPr>
          <w:rFonts w:hint="eastAsia" w:asciiTheme="minorEastAsia" w:hAnsiTheme="minorEastAsia" w:eastAsiaTheme="minorEastAsia" w:cstheme="minorEastAsia"/>
          <w:color w:val="auto"/>
          <w:highlight w:val="none"/>
          <w:lang w:eastAsia="zh-CN"/>
        </w:rPr>
        <w:t>原则上二十日</w:t>
      </w:r>
      <w:r>
        <w:rPr>
          <w:rFonts w:hint="eastAsia" w:asciiTheme="minorEastAsia" w:hAnsiTheme="minorEastAsia" w:eastAsiaTheme="minorEastAsia" w:cstheme="minorEastAsia"/>
          <w:color w:val="auto"/>
          <w:highlight w:val="none"/>
        </w:rPr>
        <w:t>内，按照采购文件确定的事项与采购人签订合同。否则，应当依法承担相应的法律责任。</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采购文件、响应文件、相关澄清材料及来往确认文件，均作为合同订立和裁定争议的依据。</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和成交人应当严格按照采购文件、响应文件以及经磋商小组审核确认的评审活动过程记录签订合同，采购代理机构依照相关规定，对于合同当事人依据前面所述的材料签订的合同的真实性予以核对盖章、确认。</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采购人应当自政府采购合同签订之日起2个工作日内，将政府采购合同在省级以上人民政府财政部门指定的媒体上公告，但政府采购合同中涉及国家秘密、商业秘密的内容除外。</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合同生效后一切行为均适用于《</w:t>
      </w:r>
      <w:r>
        <w:rPr>
          <w:rFonts w:hint="eastAsia" w:asciiTheme="minorEastAsia" w:hAnsiTheme="minorEastAsia" w:eastAsiaTheme="minorEastAsia" w:cstheme="minorEastAsia"/>
          <w:color w:val="auto"/>
          <w:highlight w:val="none"/>
          <w:lang w:eastAsia="zh-CN"/>
        </w:rPr>
        <w:t>中华人民共和国民法典</w:t>
      </w:r>
      <w:r>
        <w:rPr>
          <w:rFonts w:hint="eastAsia" w:asciiTheme="minorEastAsia" w:hAnsiTheme="minorEastAsia" w:eastAsiaTheme="minorEastAsia" w:cstheme="minorEastAsia"/>
          <w:color w:val="auto"/>
          <w:highlight w:val="none"/>
        </w:rPr>
        <w:t>》，履约期间有违约过错的一方，须承担相应的责任。</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bookmarkStart w:id="274" w:name="_Toc119321145"/>
      <w:bookmarkStart w:id="275" w:name="_Toc136662934"/>
      <w:bookmarkStart w:id="276" w:name="_Toc136682910"/>
      <w:bookmarkStart w:id="277" w:name="_Toc159385069"/>
      <w:bookmarkStart w:id="278" w:name="_Toc25574120"/>
      <w:bookmarkStart w:id="279" w:name="_Toc25726409"/>
      <w:bookmarkStart w:id="280" w:name="_Toc25401332"/>
      <w:bookmarkStart w:id="281" w:name="_Toc26261456"/>
      <w:bookmarkStart w:id="282" w:name="_Toc25400536"/>
      <w:bookmarkStart w:id="283" w:name="_Toc49329262"/>
      <w:r>
        <w:rPr>
          <w:rFonts w:hint="eastAsia" w:asciiTheme="minorEastAsia" w:hAnsiTheme="minorEastAsia" w:eastAsiaTheme="minorEastAsia" w:cstheme="minorEastAsia"/>
          <w:b/>
          <w:color w:val="auto"/>
          <w:sz w:val="24"/>
          <w:szCs w:val="24"/>
          <w:highlight w:val="none"/>
        </w:rPr>
        <w:t>质疑与</w:t>
      </w:r>
      <w:bookmarkEnd w:id="274"/>
      <w:bookmarkEnd w:id="275"/>
      <w:bookmarkEnd w:id="276"/>
      <w:r>
        <w:rPr>
          <w:rFonts w:hint="eastAsia" w:asciiTheme="minorEastAsia" w:hAnsiTheme="minorEastAsia" w:eastAsiaTheme="minorEastAsia" w:cstheme="minorEastAsia"/>
          <w:b/>
          <w:color w:val="auto"/>
          <w:sz w:val="24"/>
          <w:szCs w:val="24"/>
          <w:highlight w:val="none"/>
        </w:rPr>
        <w:t>处理</w:t>
      </w:r>
      <w:bookmarkEnd w:id="277"/>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在参与本次采购活动过程中确认自己的权益受到损害的，可以在知道或者应知其权益受损之日起7个工作日内，以实名书面形式当面向采购代理机构提交质疑申诉，质疑内容不得含有虚假、恶意成份。依照谁主张谁举证的原则，提出质疑者必须提出明确的请求，并提交必要的证明材料。对捏造事实、滥用维权扰乱采购秩序的恶意质疑者或举证不全查无实据被驳回次数在一年内达三次以上，将纳入不良行为记录并承担相应的法律责任。</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若对采购文件存有质疑的，可</w:t>
      </w:r>
      <w:r>
        <w:rPr>
          <w:rFonts w:hint="eastAsia" w:asciiTheme="minorEastAsia" w:hAnsiTheme="minorEastAsia" w:eastAsiaTheme="minorEastAsia" w:cstheme="minorEastAsia"/>
          <w:color w:val="auto"/>
          <w:highlight w:val="none"/>
        </w:rPr>
        <w:t>在递交响应文件截止前</w:t>
      </w:r>
      <w:r>
        <w:rPr>
          <w:rFonts w:hint="eastAsia" w:asciiTheme="minorEastAsia" w:hAnsiTheme="minorEastAsia" w:eastAsiaTheme="minorEastAsia" w:cstheme="minorEastAsia"/>
          <w:bCs/>
          <w:color w:val="auto"/>
          <w:highlight w:val="none"/>
        </w:rPr>
        <w:t>以书面（原件）形式当面向采购人或者采购代理机构提出。</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未成交的供应商对成交供应商提出质疑时，质疑函及相关质疑内容的举证材料将转递予被质疑者，被质疑者对举证材料须给予书面澄清回复和接受质询，其响应文件可公开的内容须接受任何形式的审查核实。</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未成交的供应商对成交结果提出的合法质疑，采购代理机构及采购人将进行审查答复；质疑者对质疑问题未获完全解决的，可向立项审批的财政管理部门反映。</w:t>
      </w:r>
    </w:p>
    <w:p>
      <w:pPr>
        <w:numPr>
          <w:ilvl w:val="0"/>
          <w:numId w:val="15"/>
        </w:numPr>
        <w:spacing w:before="240" w:beforeLines="10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不予退还磋商保证金、列入不良行为记录或违规处罚适用情形</w:t>
      </w:r>
    </w:p>
    <w:p>
      <w:pPr>
        <w:numPr>
          <w:ilvl w:val="1"/>
          <w:numId w:val="15"/>
        </w:numPr>
        <w:spacing w:line="360" w:lineRule="auto"/>
        <w:rPr>
          <w:rFonts w:hint="eastAsia" w:asciiTheme="minorEastAsia" w:hAnsiTheme="minorEastAsia" w:eastAsiaTheme="minorEastAsia" w:cstheme="minorEastAsia"/>
          <w:color w:val="auto"/>
          <w:highlight w:val="none"/>
        </w:rPr>
      </w:pPr>
      <w:bookmarkStart w:id="284" w:name="_Toc113157427"/>
      <w:r>
        <w:rPr>
          <w:rFonts w:hint="eastAsia" w:asciiTheme="minorEastAsia" w:hAnsiTheme="minorEastAsia" w:eastAsiaTheme="minorEastAsia" w:cstheme="minorEastAsia"/>
          <w:color w:val="auto"/>
          <w:highlight w:val="none"/>
        </w:rPr>
        <w:t>在递交响应文件截止时间之后，响应文件有效期满之前，撤回响应文件、退出磋商（磋商文件中约定的可退还磋商保证金的情形除外）或放弃磋商；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响应文件中提供伪造、虚假的材料或信息；</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在评审期间，使用不正当手段试图影响、改变评审结果；</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恶意串通或捏造事实，对其竞争对手进行诋毁、排挤、攻击；</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供应商之间互相串通磋商或与采购人串通磋商；</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未按磋商文件要求交纳成交服务费的（本项目不适用）；</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除因不可抗力或磋商文件认可的情形以外，不按期签订合同，违背磋商承诺和拒绝、拖延履行合同义务；</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擅自将合同项目或主体关键性合同义务分包转让他人；小型、微型企业将合同项目分包或转包给大型、中型企业；中型企业将合同项目分包或转包给大型企业。</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获成交候选通知或公示后，无法如期按采购方要求履行承诺并提供合法有效的重要证明材料；</w:t>
      </w:r>
    </w:p>
    <w:p>
      <w:pPr>
        <w:numPr>
          <w:ilvl w:val="1"/>
          <w:numId w:val="15"/>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违反政府采购法规，违反了诚实信用、公平竞争和如实告知原则，扰乱了采购程序；</w:t>
      </w:r>
    </w:p>
    <w:p>
      <w:pPr>
        <w:numPr>
          <w:ilvl w:val="1"/>
          <w:numId w:val="15"/>
        </w:num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提供虚假、恶意质疑投诉材料或在一年内有三次以上查无实据的质疑投诉记录。</w:t>
      </w:r>
    </w:p>
    <w:p>
      <w:pPr>
        <w:rPr>
          <w:rFonts w:hint="eastAsia" w:asciiTheme="minorEastAsia" w:hAnsiTheme="minorEastAsia" w:eastAsiaTheme="minorEastAsia" w:cstheme="minorEastAsia"/>
          <w:color w:val="auto"/>
          <w:highlight w:val="none"/>
        </w:rPr>
        <w:sectPr>
          <w:pgSz w:w="11906" w:h="16838"/>
          <w:pgMar w:top="1134" w:right="1134" w:bottom="1134" w:left="1417" w:header="567" w:footer="737" w:gutter="0"/>
          <w:pgNumType w:fmt="decimal"/>
          <w:cols w:space="720" w:num="1"/>
          <w:docGrid w:linePitch="312" w:charSpace="0"/>
        </w:sectPr>
      </w:pPr>
    </w:p>
    <w:p>
      <w:pPr>
        <w:pStyle w:val="7"/>
        <w:pageBreakBefore/>
        <w:spacing w:line="360" w:lineRule="auto"/>
        <w:ind w:left="0" w:firstLine="0"/>
        <w:rPr>
          <w:rFonts w:hint="eastAsia" w:asciiTheme="minorEastAsia" w:hAnsiTheme="minorEastAsia" w:eastAsiaTheme="minorEastAsia" w:cstheme="minorEastAsia"/>
          <w:b w:val="0"/>
          <w:bCs/>
          <w:color w:val="auto"/>
          <w:highlight w:val="none"/>
        </w:rPr>
      </w:pPr>
      <w:bookmarkStart w:id="285" w:name="_Toc325031940"/>
      <w:bookmarkStart w:id="286" w:name="_Toc419106561"/>
      <w:bookmarkStart w:id="287" w:name="_Toc259803667"/>
      <w:bookmarkStart w:id="288" w:name="_Toc30477"/>
      <w:bookmarkStart w:id="289" w:name="_Toc525312048"/>
      <w:bookmarkStart w:id="290" w:name="_Toc17728"/>
      <w:bookmarkStart w:id="291" w:name="_Toc310519884"/>
      <w:bookmarkStart w:id="292" w:name="_Toc373767197"/>
      <w:bookmarkStart w:id="293" w:name="_Toc8979"/>
      <w:bookmarkStart w:id="294" w:name="_Toc31518"/>
      <w:bookmarkStart w:id="295" w:name="_Toc25039"/>
      <w:bookmarkStart w:id="296" w:name="_Toc10789"/>
      <w:r>
        <w:rPr>
          <w:rFonts w:hint="eastAsia" w:asciiTheme="minorEastAsia" w:hAnsiTheme="minorEastAsia" w:eastAsiaTheme="minorEastAsia" w:cstheme="minorEastAsia"/>
          <w:b w:val="0"/>
          <w:bCs/>
          <w:color w:val="auto"/>
          <w:highlight w:val="none"/>
        </w:rPr>
        <w:t>第四部分   合同书范本</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pageBreakBefore/>
        <w:spacing w:line="360" w:lineRule="auto"/>
        <w:rPr>
          <w:rFonts w:hint="eastAsia" w:asciiTheme="minorEastAsia" w:hAnsiTheme="minorEastAsia" w:eastAsiaTheme="minorEastAsia" w:cstheme="minorEastAsia"/>
          <w:color w:val="auto"/>
          <w:kern w:val="0"/>
          <w:sz w:val="28"/>
          <w:szCs w:val="28"/>
          <w:highlight w:val="none"/>
        </w:rPr>
        <w:sectPr>
          <w:pgSz w:w="11906" w:h="16838"/>
          <w:pgMar w:top="1134" w:right="1134" w:bottom="1134" w:left="1587" w:header="567" w:footer="737" w:gutter="0"/>
          <w:pgNumType w:fmt="decimal"/>
          <w:cols w:space="720" w:num="1"/>
          <w:docGrid w:linePitch="312" w:charSpace="0"/>
        </w:sectPr>
      </w:pPr>
    </w:p>
    <w:p>
      <w:pPr>
        <w:tabs>
          <w:tab w:val="left" w:pos="1440"/>
        </w:tabs>
        <w:spacing w:line="480" w:lineRule="auto"/>
        <w:rPr>
          <w:rFonts w:hint="eastAsia" w:asciiTheme="minorEastAsia" w:hAnsiTheme="minorEastAsia" w:eastAsiaTheme="minorEastAsia" w:cstheme="minorEastAsia"/>
          <w:color w:val="auto"/>
          <w:sz w:val="68"/>
          <w:highlight w:val="none"/>
        </w:rPr>
      </w:pPr>
    </w:p>
    <w:p>
      <w:pPr>
        <w:tabs>
          <w:tab w:val="left" w:pos="1440"/>
        </w:tabs>
        <w:spacing w:line="480" w:lineRule="auto"/>
        <w:jc w:val="center"/>
        <w:rPr>
          <w:rFonts w:hint="eastAsia" w:asciiTheme="minorEastAsia" w:hAnsiTheme="minorEastAsia" w:eastAsiaTheme="minorEastAsia" w:cstheme="minorEastAsia"/>
          <w:color w:val="auto"/>
          <w:sz w:val="68"/>
          <w:highlight w:val="none"/>
        </w:rPr>
      </w:pPr>
      <w:bookmarkStart w:id="297" w:name="_Toc113157428"/>
      <w:bookmarkStart w:id="298" w:name="_Toc49329263"/>
      <w:r>
        <w:rPr>
          <w:rFonts w:hint="eastAsia" w:asciiTheme="minorEastAsia" w:hAnsiTheme="minorEastAsia" w:eastAsiaTheme="minorEastAsia" w:cstheme="minorEastAsia"/>
          <w:color w:val="auto"/>
          <w:sz w:val="68"/>
          <w:highlight w:val="none"/>
        </w:rPr>
        <w:t>采购项目</w:t>
      </w:r>
    </w:p>
    <w:p>
      <w:pPr>
        <w:tabs>
          <w:tab w:val="left" w:pos="1440"/>
          <w:tab w:val="center" w:pos="4592"/>
          <w:tab w:val="left" w:pos="6748"/>
        </w:tabs>
        <w:spacing w:line="360" w:lineRule="auto"/>
        <w:jc w:val="center"/>
        <w:rPr>
          <w:rFonts w:hint="eastAsia" w:asciiTheme="minorEastAsia" w:hAnsiTheme="minorEastAsia" w:eastAsiaTheme="minorEastAsia" w:cstheme="minorEastAsia"/>
          <w:color w:val="auto"/>
          <w:sz w:val="68"/>
          <w:highlight w:val="none"/>
        </w:rPr>
      </w:pPr>
      <w:r>
        <w:rPr>
          <w:rFonts w:hint="eastAsia" w:asciiTheme="minorEastAsia" w:hAnsiTheme="minorEastAsia" w:eastAsiaTheme="minorEastAsia" w:cstheme="minorEastAsia"/>
          <w:color w:val="auto"/>
          <w:sz w:val="68"/>
          <w:highlight w:val="none"/>
        </w:rPr>
        <w:t>合 同 书</w:t>
      </w:r>
    </w:p>
    <w:p>
      <w:pPr>
        <w:spacing w:line="360" w:lineRule="auto"/>
        <w:jc w:val="center"/>
        <w:rPr>
          <w:rFonts w:hint="eastAsia" w:asciiTheme="minorEastAsia" w:hAnsiTheme="minorEastAsia" w:eastAsiaTheme="minorEastAsia" w:cstheme="minorEastAsia"/>
          <w:color w:val="auto"/>
          <w:sz w:val="24"/>
          <w:highlight w:val="none"/>
        </w:rPr>
      </w:pPr>
    </w:p>
    <w:tbl>
      <w:tblPr>
        <w:tblStyle w:val="24"/>
        <w:tblW w:w="0" w:type="auto"/>
        <w:jc w:val="center"/>
        <w:tblLayout w:type="fixed"/>
        <w:tblCellMar>
          <w:top w:w="0" w:type="dxa"/>
          <w:left w:w="108" w:type="dxa"/>
          <w:bottom w:w="0" w:type="dxa"/>
          <w:right w:w="108" w:type="dxa"/>
        </w:tblCellMar>
      </w:tblPr>
      <w:tblGrid>
        <w:gridCol w:w="1440"/>
        <w:gridCol w:w="5183"/>
      </w:tblGrid>
      <w:tr>
        <w:trPr>
          <w:trHeight w:val="593" w:hRule="atLeast"/>
          <w:jc w:val="center"/>
        </w:trPr>
        <w:tc>
          <w:tcPr>
            <w:tcW w:w="1440" w:type="dxa"/>
            <w:noWrap w:val="0"/>
            <w:vAlign w:val="center"/>
          </w:tcPr>
          <w:p>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项目编号：</w:t>
            </w:r>
          </w:p>
        </w:tc>
        <w:tc>
          <w:tcPr>
            <w:tcW w:w="5183" w:type="dxa"/>
            <w:noWrap w:val="0"/>
            <w:vAlign w:val="center"/>
          </w:tcPr>
          <w:p>
            <w:pP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FEGD-ZT211328</w:t>
            </w:r>
          </w:p>
        </w:tc>
      </w:tr>
      <w:tr>
        <w:tblPrEx>
          <w:tblCellMar>
            <w:top w:w="0" w:type="dxa"/>
            <w:left w:w="108" w:type="dxa"/>
            <w:bottom w:w="0" w:type="dxa"/>
            <w:right w:w="108" w:type="dxa"/>
          </w:tblCellMar>
        </w:tblPrEx>
        <w:trPr>
          <w:trHeight w:val="621" w:hRule="atLeast"/>
          <w:jc w:val="center"/>
        </w:trPr>
        <w:tc>
          <w:tcPr>
            <w:tcW w:w="1440" w:type="dxa"/>
            <w:noWrap w:val="0"/>
            <w:vAlign w:val="center"/>
          </w:tcPr>
          <w:p>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项目名称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p>
        </w:tc>
        <w:tc>
          <w:tcPr>
            <w:tcW w:w="5183" w:type="dxa"/>
            <w:noWrap w:val="0"/>
            <w:vAlign w:val="center"/>
          </w:tcPr>
          <w:p>
            <w:pP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2021年省、市在佛山挂牌的火灾高风险区域整治工作实地检查评估项目</w:t>
            </w:r>
          </w:p>
        </w:tc>
      </w:tr>
    </w:tbl>
    <w:p>
      <w:pPr>
        <w:spacing w:line="360" w:lineRule="auto"/>
        <w:jc w:val="center"/>
        <w:rPr>
          <w:rFonts w:hint="eastAsia" w:asciiTheme="minorEastAsia" w:hAnsiTheme="minorEastAsia" w:eastAsiaTheme="minorEastAsia" w:cstheme="minorEastAsia"/>
          <w:color w:val="auto"/>
          <w:sz w:val="24"/>
          <w:highlight w:val="none"/>
        </w:rPr>
      </w:pPr>
    </w:p>
    <w:p>
      <w:pPr>
        <w:spacing w:line="360" w:lineRule="auto"/>
        <w:jc w:val="center"/>
        <w:rPr>
          <w:rFonts w:hint="eastAsia" w:asciiTheme="minorEastAsia" w:hAnsiTheme="minorEastAsia" w:eastAsiaTheme="minorEastAsia" w:cstheme="minorEastAsia"/>
          <w:color w:val="auto"/>
          <w:sz w:val="24"/>
          <w:highlight w:val="none"/>
        </w:rPr>
      </w:pPr>
    </w:p>
    <w:p>
      <w:pPr>
        <w:spacing w:line="360" w:lineRule="auto"/>
        <w:jc w:val="center"/>
        <w:rPr>
          <w:rFonts w:hint="eastAsia" w:asciiTheme="minorEastAsia" w:hAnsiTheme="minorEastAsia" w:eastAsiaTheme="minorEastAsia" w:cstheme="minorEastAsia"/>
          <w:color w:val="auto"/>
          <w:sz w:val="24"/>
          <w:highlight w:val="none"/>
        </w:rPr>
      </w:pPr>
    </w:p>
    <w:p>
      <w:pPr>
        <w:spacing w:line="360" w:lineRule="auto"/>
        <w:jc w:val="center"/>
        <w:rPr>
          <w:rFonts w:hint="eastAsia" w:asciiTheme="minorEastAsia" w:hAnsiTheme="minorEastAsia" w:eastAsiaTheme="minorEastAsia" w:cstheme="minorEastAsia"/>
          <w:color w:val="auto"/>
          <w:sz w:val="24"/>
          <w:highlight w:val="none"/>
        </w:rPr>
      </w:pPr>
    </w:p>
    <w:p>
      <w:pPr>
        <w:spacing w:line="360" w:lineRule="auto"/>
        <w:jc w:val="center"/>
        <w:rPr>
          <w:rFonts w:hint="eastAsia" w:asciiTheme="minorEastAsia" w:hAnsiTheme="minorEastAsia" w:eastAsiaTheme="minorEastAsia" w:cstheme="minorEastAsia"/>
          <w:color w:val="auto"/>
          <w:sz w:val="24"/>
          <w:highlight w:val="none"/>
        </w:rPr>
      </w:pPr>
    </w:p>
    <w:p>
      <w:pPr>
        <w:spacing w:line="360" w:lineRule="auto"/>
        <w:jc w:val="center"/>
        <w:rPr>
          <w:rFonts w:hint="eastAsia" w:asciiTheme="minorEastAsia" w:hAnsiTheme="minorEastAsia" w:eastAsiaTheme="minorEastAsia" w:cstheme="minorEastAsia"/>
          <w:color w:val="auto"/>
          <w:sz w:val="24"/>
          <w:highlight w:val="none"/>
        </w:rPr>
      </w:pPr>
    </w:p>
    <w:p>
      <w:pPr>
        <w:spacing w:line="360" w:lineRule="auto"/>
        <w:ind w:firstLine="1687" w:firstLineChars="600"/>
        <w:jc w:val="left"/>
        <w:rPr>
          <w:rFonts w:hint="eastAsia" w:asciiTheme="minorEastAsia" w:hAnsiTheme="minorEastAsia" w:eastAsiaTheme="minorEastAsia" w:cstheme="minorEastAsia"/>
          <w:b/>
          <w:color w:val="auto"/>
          <w:sz w:val="28"/>
          <w:szCs w:val="28"/>
          <w:highlight w:val="none"/>
          <w:u w:val="single"/>
        </w:rPr>
      </w:pPr>
      <w:r>
        <w:rPr>
          <w:rFonts w:hint="eastAsia" w:asciiTheme="minorEastAsia" w:hAnsiTheme="minorEastAsia" w:eastAsiaTheme="minorEastAsia" w:cstheme="minorEastAsia"/>
          <w:b/>
          <w:color w:val="auto"/>
          <w:sz w:val="28"/>
          <w:szCs w:val="28"/>
          <w:highlight w:val="none"/>
        </w:rPr>
        <w:t>甲    方：</w:t>
      </w:r>
      <w:r>
        <w:rPr>
          <w:rFonts w:hint="eastAsia" w:asciiTheme="minorEastAsia" w:hAnsiTheme="minorEastAsia" w:eastAsiaTheme="minorEastAsia" w:cstheme="minorEastAsia"/>
          <w:b/>
          <w:color w:val="auto"/>
          <w:sz w:val="28"/>
          <w:szCs w:val="28"/>
          <w:highlight w:val="none"/>
          <w:u w:val="single"/>
        </w:rPr>
        <w:t xml:space="preserve"> </w:t>
      </w:r>
      <w:r>
        <w:rPr>
          <w:rFonts w:hint="eastAsia" w:asciiTheme="minorEastAsia" w:hAnsiTheme="minorEastAsia" w:eastAsiaTheme="minorEastAsia" w:cstheme="minorEastAsia"/>
          <w:b/>
          <w:color w:val="auto"/>
          <w:sz w:val="28"/>
          <w:szCs w:val="28"/>
          <w:highlight w:val="none"/>
          <w:u w:val="single"/>
          <w:lang w:eastAsia="zh-CN"/>
        </w:rPr>
        <w:t>佛山市消防救援支队</w:t>
      </w:r>
      <w:r>
        <w:rPr>
          <w:rFonts w:hint="eastAsia" w:asciiTheme="minorEastAsia" w:hAnsiTheme="minorEastAsia" w:eastAsiaTheme="minorEastAsia" w:cstheme="minorEastAsia"/>
          <w:b/>
          <w:color w:val="auto"/>
          <w:sz w:val="28"/>
          <w:szCs w:val="28"/>
          <w:highlight w:val="none"/>
          <w:u w:val="single"/>
        </w:rPr>
        <w:t xml:space="preserve">    </w:t>
      </w:r>
    </w:p>
    <w:p>
      <w:pPr>
        <w:spacing w:line="360" w:lineRule="auto"/>
        <w:ind w:firstLine="1687" w:firstLineChars="60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乙    方：</w:t>
      </w:r>
      <w:r>
        <w:rPr>
          <w:rFonts w:hint="eastAsia" w:asciiTheme="minorEastAsia" w:hAnsiTheme="minorEastAsia" w:eastAsiaTheme="minorEastAsia" w:cstheme="minorEastAsia"/>
          <w:b/>
          <w:color w:val="auto"/>
          <w:sz w:val="28"/>
          <w:szCs w:val="28"/>
          <w:highlight w:val="none"/>
          <w:u w:val="single"/>
        </w:rPr>
        <w:t>（成交人/供应方）</w:t>
      </w:r>
    </w:p>
    <w:p>
      <w:pPr>
        <w:spacing w:line="360" w:lineRule="auto"/>
        <w:ind w:firstLine="1687" w:firstLineChars="60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日    期：</w:t>
      </w:r>
      <w:r>
        <w:rPr>
          <w:rFonts w:hint="eastAsia" w:asciiTheme="minorEastAsia" w:hAnsiTheme="minorEastAsia" w:eastAsiaTheme="minorEastAsia" w:cstheme="minorEastAsia"/>
          <w:b/>
          <w:color w:val="auto"/>
          <w:sz w:val="28"/>
          <w:szCs w:val="28"/>
          <w:highlight w:val="none"/>
          <w:u w:val="single"/>
        </w:rPr>
        <w:t xml:space="preserve">                 </w:t>
      </w:r>
    </w:p>
    <w:p>
      <w:pPr>
        <w:pageBreakBefore/>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甲    方：</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lang w:val="en-US" w:eastAsia="zh-CN"/>
        </w:rPr>
        <w:t>采购人</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b/>
          <w:color w:val="auto"/>
          <w:highlight w:val="none"/>
          <w:u w:val="single"/>
          <w:lang w:eastAsia="zh-CN"/>
        </w:rPr>
        <w:t>佛山市消防救援支队</w:t>
      </w:r>
      <w:r>
        <w:rPr>
          <w:rFonts w:hint="eastAsia" w:asciiTheme="minorEastAsia" w:hAnsiTheme="minorEastAsia" w:eastAsiaTheme="minorEastAsia" w:cstheme="minorEastAsia"/>
          <w:b/>
          <w:color w:val="auto"/>
          <w:highlight w:val="none"/>
          <w:u w:val="single"/>
        </w:rPr>
        <w:t xml:space="preserve">  </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乙    方：</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lang w:val="en-US" w:eastAsia="zh-CN"/>
        </w:rPr>
        <w:t>成交人</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b/>
          <w:color w:val="auto"/>
          <w:highlight w:val="none"/>
          <w:u w:val="single"/>
          <w:lang w:val="en-US" w:eastAsia="zh-CN"/>
        </w:rPr>
        <w:t xml:space="preserve">             </w:t>
      </w:r>
      <w:r>
        <w:rPr>
          <w:rFonts w:hint="eastAsia" w:asciiTheme="minorEastAsia" w:hAnsiTheme="minorEastAsia" w:eastAsiaTheme="minorEastAsia" w:cstheme="minorEastAsia"/>
          <w:b/>
          <w:color w:val="auto"/>
          <w:highlight w:val="none"/>
          <w:u w:val="single"/>
        </w:rPr>
        <w:t xml:space="preserve">       </w:t>
      </w:r>
    </w:p>
    <w:p>
      <w:pPr>
        <w:spacing w:line="360" w:lineRule="auto"/>
        <w:rPr>
          <w:rFonts w:hint="eastAsia" w:asciiTheme="minorEastAsia" w:hAnsiTheme="minorEastAsia" w:eastAsiaTheme="minorEastAsia" w:cstheme="minorEastAsia"/>
          <w:b/>
          <w:color w:val="auto"/>
          <w:highlight w:val="none"/>
          <w:u w:val="single"/>
        </w:rPr>
      </w:pPr>
      <w:r>
        <w:rPr>
          <w:rFonts w:hint="eastAsia" w:asciiTheme="minorEastAsia" w:hAnsiTheme="minorEastAsia" w:eastAsiaTheme="minorEastAsia" w:cstheme="minorEastAsia"/>
          <w:b/>
          <w:color w:val="auto"/>
          <w:highlight w:val="none"/>
        </w:rPr>
        <w:t>审核单位：</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b/>
          <w:color w:val="auto"/>
          <w:highlight w:val="none"/>
          <w:u w:val="single"/>
          <w:lang w:eastAsia="zh-CN"/>
        </w:rPr>
        <w:t>广东远东招标代理有限公司</w:t>
      </w:r>
      <w:r>
        <w:rPr>
          <w:rFonts w:hint="eastAsia" w:asciiTheme="minorEastAsia" w:hAnsiTheme="minorEastAsia" w:eastAsiaTheme="minorEastAsia" w:cstheme="minorEastAsia"/>
          <w:b/>
          <w:color w:val="auto"/>
          <w:highlight w:val="none"/>
          <w:u w:val="single"/>
        </w:rPr>
        <w:t xml:space="preserve">      </w:t>
      </w:r>
    </w:p>
    <w:p>
      <w:p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根据《中华人民共和国政府采购法》、《中华人民共和国</w:t>
      </w:r>
      <w:r>
        <w:rPr>
          <w:rFonts w:hint="eastAsia" w:asciiTheme="minorEastAsia" w:hAnsiTheme="minorEastAsia" w:eastAsiaTheme="minorEastAsia" w:cstheme="minorEastAsia"/>
          <w:color w:val="auto"/>
          <w:highlight w:val="none"/>
          <w:lang w:eastAsia="zh-CN"/>
        </w:rPr>
        <w:t>民法典</w:t>
      </w:r>
      <w:r>
        <w:rPr>
          <w:rFonts w:hint="eastAsia" w:asciiTheme="minorEastAsia" w:hAnsiTheme="minorEastAsia" w:eastAsiaTheme="minorEastAsia" w:cstheme="minorEastAsia"/>
          <w:color w:val="auto"/>
          <w:highlight w:val="none"/>
        </w:rPr>
        <w:t>》、以及采购文件、</w:t>
      </w:r>
      <w:r>
        <w:rPr>
          <w:rFonts w:hint="eastAsia" w:asciiTheme="minorEastAsia" w:hAnsiTheme="minorEastAsia" w:eastAsiaTheme="minorEastAsia" w:cstheme="minorEastAsia"/>
          <w:color w:val="auto"/>
          <w:highlight w:val="none"/>
          <w:lang w:eastAsia="zh-CN"/>
        </w:rPr>
        <w:t>乙方</w:t>
      </w:r>
      <w:r>
        <w:rPr>
          <w:rFonts w:hint="eastAsia" w:asciiTheme="minorEastAsia" w:hAnsiTheme="minorEastAsia" w:eastAsiaTheme="minorEastAsia" w:cstheme="minorEastAsia"/>
          <w:color w:val="auto"/>
          <w:highlight w:val="none"/>
        </w:rPr>
        <w:t>的投标文件，本着平等互利和诚实信用的原则，经协商一致，甲、乙双方签订合同如下：</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一、项目名称</w:t>
      </w:r>
    </w:p>
    <w:p>
      <w:pPr>
        <w:tabs>
          <w:tab w:val="left" w:pos="72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u w:val="single"/>
          <w:lang w:eastAsia="zh-CN"/>
        </w:rPr>
        <w:t>2021年省、市在佛山挂牌的火灾高风险区域整治工作实地检查评估项目</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pPr>
        <w:tabs>
          <w:tab w:val="left" w:pos="720"/>
        </w:tabs>
        <w:spacing w:line="360" w:lineRule="auto"/>
        <w:ind w:firstLine="42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eastAsia="zh-CN"/>
        </w:rPr>
        <w:t>FEGD-ZT211328</w:t>
      </w:r>
      <w:r>
        <w:rPr>
          <w:rFonts w:hint="eastAsia" w:asciiTheme="minorEastAsia" w:hAnsiTheme="minorEastAsia" w:eastAsiaTheme="minorEastAsia" w:cstheme="minorEastAsia"/>
          <w:color w:val="auto"/>
          <w:highlight w:val="none"/>
          <w:u w:val="single"/>
        </w:rPr>
        <w:t xml:space="preserve">       </w:t>
      </w:r>
    </w:p>
    <w:p>
      <w:pPr>
        <w:numPr>
          <w:ilvl w:val="0"/>
          <w:numId w:val="21"/>
        </w:num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1"/>
          <w:highlight w:val="none"/>
          <w:lang w:bidi="ar"/>
        </w:rPr>
        <w:t>项目服务地点</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highlight w:val="none"/>
          <w:lang w:eastAsia="zh-CN"/>
        </w:rPr>
        <w:t>甲方</w:t>
      </w:r>
      <w:r>
        <w:rPr>
          <w:rFonts w:hint="eastAsia" w:asciiTheme="minorEastAsia" w:hAnsiTheme="minorEastAsia" w:eastAsiaTheme="minorEastAsia" w:cstheme="minorEastAsia"/>
          <w:b/>
          <w:color w:val="auto"/>
          <w:highlight w:val="none"/>
        </w:rPr>
        <w:t>（用户）指定地点</w:t>
      </w:r>
      <w:r>
        <w:rPr>
          <w:rFonts w:hint="eastAsia" w:asciiTheme="minorEastAsia" w:hAnsiTheme="minorEastAsia" w:eastAsiaTheme="minorEastAsia" w:cstheme="minorEastAsia"/>
          <w:b/>
          <w:color w:val="auto"/>
          <w:highlight w:val="none"/>
          <w:lang w:eastAsia="zh-CN"/>
        </w:rPr>
        <w:t>。</w:t>
      </w:r>
    </w:p>
    <w:p>
      <w:pPr>
        <w:numPr>
          <w:ilvl w:val="0"/>
          <w:numId w:val="21"/>
        </w:num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价格要求</w:t>
      </w:r>
    </w:p>
    <w:p>
      <w:pPr>
        <w:tabs>
          <w:tab w:val="left" w:pos="72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（1）合同金额：大写：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rPr>
        <w:t xml:space="preserve">   </w:t>
      </w:r>
    </w:p>
    <w:p>
      <w:pPr>
        <w:tabs>
          <w:tab w:val="left" w:pos="72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（2）投标报价为包干总价，报价和结算支付均以人民币为货币单位，包括参与本项目所有服务涉及的一切调研费、成果编制费、成果验收费（含专家费）、交通差旅费、通讯费、雇员费用、全额含税发票税费。</w:t>
      </w:r>
    </w:p>
    <w:p>
      <w:pPr>
        <w:numPr>
          <w:ilvl w:val="0"/>
          <w:numId w:val="21"/>
        </w:num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服务期：</w:t>
      </w:r>
    </w:p>
    <w:p>
      <w:pPr>
        <w:spacing w:line="360" w:lineRule="auto"/>
        <w:ind w:firstLine="420" w:firstLineChars="200"/>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bCs/>
          <w:color w:val="auto"/>
          <w:highlight w:val="none"/>
          <w:lang w:eastAsia="zh-CN"/>
        </w:rPr>
        <w:t>2021年12月25日完成所有评估数据汇总和检查、分析评估、资料整编、评估验收报告编写</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五、付款方式</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签订合同</w:t>
      </w:r>
      <w:r>
        <w:rPr>
          <w:rFonts w:hint="eastAsia" w:asciiTheme="minorEastAsia" w:hAnsiTheme="minorEastAsia" w:eastAsiaTheme="minorEastAsia" w:cstheme="minorEastAsia"/>
          <w:color w:val="auto"/>
          <w:sz w:val="21"/>
          <w:szCs w:val="21"/>
          <w:highlight w:val="none"/>
          <w:lang w:eastAsia="zh-CN"/>
        </w:rPr>
        <w:t>后，甲方在收到乙方开具的合格发票后</w:t>
      </w:r>
      <w:r>
        <w:rPr>
          <w:rFonts w:hint="eastAsia" w:asciiTheme="minorEastAsia" w:hAnsiTheme="minorEastAsia" w:eastAsiaTheme="minorEastAsia" w:cstheme="minorEastAsia"/>
          <w:color w:val="auto"/>
          <w:sz w:val="21"/>
          <w:szCs w:val="21"/>
          <w:highlight w:val="none"/>
          <w:lang w:val="en-US" w:eastAsia="zh-CN"/>
        </w:rPr>
        <w:t>7个工作日内向</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lang w:val="en-US" w:eastAsia="zh-CN"/>
        </w:rPr>
        <w:t>指定账户支付中标金额的30%。</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乙方完成实地评估，向甲方提交书面评估报告，经甲方验收合格后，甲方在收到乙方开具的合格发票后</w:t>
      </w:r>
      <w:r>
        <w:rPr>
          <w:rFonts w:hint="eastAsia" w:asciiTheme="minorEastAsia" w:hAnsiTheme="minorEastAsia" w:eastAsiaTheme="minorEastAsia" w:cstheme="minorEastAsia"/>
          <w:color w:val="auto"/>
          <w:sz w:val="21"/>
          <w:szCs w:val="21"/>
          <w:highlight w:val="none"/>
          <w:lang w:val="en-US" w:eastAsia="zh-CN"/>
        </w:rPr>
        <w:t>7个工作日内向</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lang w:val="en-US" w:eastAsia="zh-CN"/>
        </w:rPr>
        <w:t>指定账户支付中标金额的65%。</w:t>
      </w:r>
    </w:p>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3.项目通过省、市政府验收合格并下发相应摘牌通知后，</w:t>
      </w:r>
      <w:r>
        <w:rPr>
          <w:rFonts w:hint="eastAsia" w:asciiTheme="minorEastAsia" w:hAnsiTheme="minorEastAsia" w:eastAsiaTheme="minorEastAsia" w:cstheme="minorEastAsia"/>
          <w:color w:val="auto"/>
          <w:sz w:val="21"/>
          <w:szCs w:val="21"/>
          <w:highlight w:val="none"/>
          <w:lang w:eastAsia="zh-CN"/>
        </w:rPr>
        <w:t>甲方在收到乙方开具的合格发票后</w:t>
      </w:r>
      <w:r>
        <w:rPr>
          <w:rFonts w:hint="eastAsia" w:asciiTheme="minorEastAsia" w:hAnsiTheme="minorEastAsia" w:eastAsiaTheme="minorEastAsia" w:cstheme="minorEastAsia"/>
          <w:color w:val="auto"/>
          <w:sz w:val="21"/>
          <w:szCs w:val="21"/>
          <w:highlight w:val="none"/>
          <w:lang w:val="en-US" w:eastAsia="zh-CN"/>
        </w:rPr>
        <w:t>7个工作日内向</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lang w:val="en-US" w:eastAsia="zh-CN"/>
        </w:rPr>
        <w:t>指定账户支付中标金额的5%。</w:t>
      </w:r>
    </w:p>
    <w:p>
      <w:pPr>
        <w:spacing w:line="360" w:lineRule="auto"/>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val="en-US" w:eastAsia="zh-CN"/>
        </w:rPr>
        <w:t>六</w:t>
      </w:r>
      <w:r>
        <w:rPr>
          <w:rFonts w:hint="eastAsia" w:asciiTheme="minorEastAsia" w:hAnsiTheme="minorEastAsia" w:eastAsiaTheme="minorEastAsia" w:cstheme="minorEastAsia"/>
          <w:b/>
          <w:color w:val="auto"/>
          <w:highlight w:val="none"/>
        </w:rPr>
        <w:t>、付款</w:t>
      </w:r>
      <w:r>
        <w:rPr>
          <w:rFonts w:hint="eastAsia" w:asciiTheme="minorEastAsia" w:hAnsiTheme="minorEastAsia" w:eastAsiaTheme="minorEastAsia" w:cstheme="minorEastAsia"/>
          <w:b/>
          <w:color w:val="auto"/>
          <w:highlight w:val="none"/>
          <w:lang w:val="en-US" w:eastAsia="zh-CN"/>
        </w:rPr>
        <w:t>要求</w:t>
      </w:r>
    </w:p>
    <w:p>
      <w:pPr>
        <w:spacing w:line="360" w:lineRule="auto"/>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lang w:val="en-US" w:eastAsia="zh-CN"/>
        </w:rPr>
        <w:t>1</w:t>
      </w:r>
      <w:r>
        <w:rPr>
          <w:rFonts w:hint="eastAsia" w:asciiTheme="minorEastAsia" w:hAnsiTheme="minorEastAsia" w:eastAsiaTheme="minorEastAsia" w:cstheme="minorEastAsia"/>
          <w:b w:val="0"/>
          <w:bCs/>
          <w:color w:val="auto"/>
          <w:highlight w:val="none"/>
        </w:rPr>
        <w:t>.因</w:t>
      </w:r>
      <w:r>
        <w:rPr>
          <w:rFonts w:hint="eastAsia" w:asciiTheme="minorEastAsia" w:hAnsiTheme="minorEastAsia" w:eastAsiaTheme="minorEastAsia" w:cstheme="minorEastAsia"/>
          <w:b w:val="0"/>
          <w:bCs/>
          <w:color w:val="auto"/>
          <w:highlight w:val="none"/>
          <w:lang w:eastAsia="zh-CN"/>
        </w:rPr>
        <w:t>甲方</w:t>
      </w:r>
      <w:r>
        <w:rPr>
          <w:rFonts w:hint="eastAsia" w:asciiTheme="minorEastAsia" w:hAnsiTheme="minorEastAsia" w:eastAsiaTheme="minorEastAsia" w:cstheme="minorEastAsia"/>
          <w:b w:val="0"/>
          <w:bCs/>
          <w:color w:val="auto"/>
          <w:highlight w:val="none"/>
        </w:rPr>
        <w:t>使用的是财政资金，</w:t>
      </w:r>
      <w:r>
        <w:rPr>
          <w:rFonts w:hint="eastAsia" w:asciiTheme="minorEastAsia" w:hAnsiTheme="minorEastAsia" w:eastAsiaTheme="minorEastAsia" w:cstheme="minorEastAsia"/>
          <w:b w:val="0"/>
          <w:bCs/>
          <w:color w:val="auto"/>
          <w:highlight w:val="none"/>
          <w:lang w:eastAsia="zh-CN"/>
        </w:rPr>
        <w:t>甲方</w:t>
      </w:r>
      <w:r>
        <w:rPr>
          <w:rFonts w:hint="eastAsia" w:asciiTheme="minorEastAsia" w:hAnsiTheme="minorEastAsia" w:eastAsiaTheme="minorEastAsia" w:cstheme="minorEastAsia"/>
          <w:b w:val="0"/>
          <w:bCs/>
          <w:color w:val="auto"/>
          <w:highlight w:val="none"/>
        </w:rPr>
        <w:t>在规定的付款时间为向政府采购支付部门提出办理财政支付申请手续的时间（不含政府财政支付部门审核的时间），在规定时间内提出支付申请手续后即视为</w:t>
      </w:r>
      <w:r>
        <w:rPr>
          <w:rFonts w:hint="eastAsia" w:asciiTheme="minorEastAsia" w:hAnsiTheme="minorEastAsia" w:eastAsiaTheme="minorEastAsia" w:cstheme="minorEastAsia"/>
          <w:b w:val="0"/>
          <w:bCs/>
          <w:color w:val="auto"/>
          <w:highlight w:val="none"/>
          <w:lang w:eastAsia="zh-CN"/>
        </w:rPr>
        <w:t>甲方</w:t>
      </w:r>
      <w:r>
        <w:rPr>
          <w:rFonts w:hint="eastAsia" w:asciiTheme="minorEastAsia" w:hAnsiTheme="minorEastAsia" w:eastAsiaTheme="minorEastAsia" w:cstheme="minorEastAsia"/>
          <w:b w:val="0"/>
          <w:bCs/>
          <w:color w:val="auto"/>
          <w:highlight w:val="none"/>
        </w:rPr>
        <w:t>已经按期支付。</w:t>
      </w:r>
    </w:p>
    <w:p>
      <w:pPr>
        <w:spacing w:line="360" w:lineRule="auto"/>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lang w:val="en-US" w:eastAsia="zh-CN"/>
        </w:rPr>
        <w:t>2</w:t>
      </w:r>
      <w:r>
        <w:rPr>
          <w:rFonts w:hint="eastAsia" w:asciiTheme="minorEastAsia" w:hAnsiTheme="minorEastAsia" w:eastAsiaTheme="minorEastAsia" w:cstheme="minorEastAsia"/>
          <w:b w:val="0"/>
          <w:bCs/>
          <w:color w:val="auto"/>
          <w:highlight w:val="none"/>
        </w:rPr>
        <w:t>.收款方、出具发票方、乙方均必须与中标（成交）人名称一致。</w:t>
      </w:r>
    </w:p>
    <w:p>
      <w:pPr>
        <w:spacing w:line="360" w:lineRule="auto"/>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lang w:val="en-US" w:eastAsia="zh-CN"/>
        </w:rPr>
        <w:t>3</w:t>
      </w:r>
      <w:r>
        <w:rPr>
          <w:rFonts w:hint="eastAsia" w:asciiTheme="minorEastAsia" w:hAnsiTheme="minorEastAsia" w:eastAsiaTheme="minorEastAsia" w:cstheme="minorEastAsia"/>
          <w:b w:val="0"/>
          <w:bCs/>
          <w:color w:val="auto"/>
          <w:highlight w:val="none"/>
        </w:rPr>
        <w:t>.费用以转账方式转入中标（成交）人的银行账户。</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val="en-US" w:eastAsia="zh-CN"/>
        </w:rPr>
        <w:t>七</w:t>
      </w:r>
      <w:r>
        <w:rPr>
          <w:rFonts w:hint="eastAsia" w:asciiTheme="minorEastAsia" w:hAnsiTheme="minorEastAsia" w:eastAsiaTheme="minorEastAsia" w:cstheme="minorEastAsia"/>
          <w:b/>
          <w:color w:val="auto"/>
          <w:highlight w:val="none"/>
        </w:rPr>
        <w:t>、其他要求：</w:t>
      </w:r>
    </w:p>
    <w:p>
      <w:pPr>
        <w:pStyle w:val="4"/>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2"/>
          <w:highlight w:val="none"/>
          <w:lang w:val="en-US" w:eastAsia="zh-CN" w:bidi="ar-SA"/>
        </w:rPr>
      </w:pPr>
      <w:r>
        <w:rPr>
          <w:rFonts w:hint="eastAsia" w:asciiTheme="minorEastAsia" w:hAnsiTheme="minorEastAsia" w:eastAsiaTheme="minorEastAsia" w:cstheme="minorEastAsia"/>
          <w:b w:val="0"/>
          <w:bCs/>
          <w:color w:val="auto"/>
          <w:kern w:val="2"/>
          <w:sz w:val="21"/>
          <w:szCs w:val="22"/>
          <w:highlight w:val="none"/>
          <w:lang w:val="en-US" w:eastAsia="zh-CN" w:bidi="ar-SA"/>
        </w:rPr>
        <w:t>1.成果报告：提交科学公正的验收评估报告。</w:t>
      </w:r>
    </w:p>
    <w:p>
      <w:pPr>
        <w:pStyle w:val="4"/>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2"/>
          <w:highlight w:val="none"/>
          <w:lang w:val="en-US" w:eastAsia="zh-CN" w:bidi="ar-SA"/>
        </w:rPr>
      </w:pPr>
      <w:r>
        <w:rPr>
          <w:rFonts w:hint="eastAsia" w:asciiTheme="minorEastAsia" w:hAnsiTheme="minorEastAsia" w:eastAsiaTheme="minorEastAsia" w:cstheme="minorEastAsia"/>
          <w:b w:val="0"/>
          <w:bCs/>
          <w:color w:val="auto"/>
          <w:kern w:val="2"/>
          <w:sz w:val="21"/>
          <w:szCs w:val="22"/>
          <w:highlight w:val="none"/>
          <w:lang w:val="en-US" w:eastAsia="zh-CN" w:bidi="ar-SA"/>
        </w:rPr>
        <w:t>2.保密要求：乙方在项目实施过程中，对甲方所提供的所有相关资料、数据，未经甲方书面同意不得向任何第三人泄露，且保密责任不因合同的终止或解除而失效。如甲方提出要求，投标人须无条件与甲方签定保密协议。项目完成后，乙方须把甲方提供的所有资料、数据完整归还甲方，并不得留存任何复制品。</w:t>
      </w:r>
    </w:p>
    <w:p>
      <w:pPr>
        <w:pStyle w:val="4"/>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2"/>
          <w:highlight w:val="none"/>
          <w:lang w:val="en-US" w:eastAsia="zh-CN" w:bidi="ar-SA"/>
        </w:rPr>
      </w:pPr>
      <w:r>
        <w:rPr>
          <w:rFonts w:hint="eastAsia" w:asciiTheme="minorEastAsia" w:hAnsiTheme="minorEastAsia" w:eastAsiaTheme="minorEastAsia" w:cstheme="minorEastAsia"/>
          <w:b w:val="0"/>
          <w:bCs/>
          <w:color w:val="auto"/>
          <w:kern w:val="2"/>
          <w:sz w:val="21"/>
          <w:szCs w:val="22"/>
          <w:highlight w:val="none"/>
          <w:lang w:val="en-US" w:eastAsia="zh-CN" w:bidi="ar-SA"/>
        </w:rPr>
        <w:t>3.著作权归属：</w:t>
      </w:r>
    </w:p>
    <w:p>
      <w:pPr>
        <w:pStyle w:val="4"/>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2"/>
          <w:highlight w:val="none"/>
          <w:lang w:val="en-US" w:eastAsia="zh-CN" w:bidi="ar-SA"/>
        </w:rPr>
      </w:pPr>
      <w:r>
        <w:rPr>
          <w:rFonts w:hint="eastAsia" w:asciiTheme="minorEastAsia" w:hAnsiTheme="minorEastAsia" w:eastAsiaTheme="minorEastAsia" w:cstheme="minorEastAsia"/>
          <w:b w:val="0"/>
          <w:bCs/>
          <w:color w:val="auto"/>
          <w:kern w:val="2"/>
          <w:sz w:val="21"/>
          <w:szCs w:val="22"/>
          <w:highlight w:val="none"/>
          <w:lang w:val="en-US" w:eastAsia="zh-CN" w:bidi="ar-SA"/>
        </w:rPr>
        <w:t>（1）项目版权归双方共同所有；未经甲方同意，乙方不可将版权转让和复制。</w:t>
      </w:r>
    </w:p>
    <w:p>
      <w:pPr>
        <w:pStyle w:val="4"/>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2"/>
          <w:highlight w:val="none"/>
          <w:lang w:val="en-US" w:eastAsia="zh-CN" w:bidi="ar-SA"/>
        </w:rPr>
      </w:pPr>
      <w:r>
        <w:rPr>
          <w:rFonts w:hint="eastAsia" w:asciiTheme="minorEastAsia" w:hAnsiTheme="minorEastAsia" w:eastAsiaTheme="minorEastAsia" w:cstheme="minorEastAsia"/>
          <w:b w:val="0"/>
          <w:bCs/>
          <w:color w:val="auto"/>
          <w:kern w:val="2"/>
          <w:sz w:val="21"/>
          <w:szCs w:val="22"/>
          <w:highlight w:val="none"/>
          <w:lang w:val="en-US" w:eastAsia="zh-CN" w:bidi="ar-SA"/>
        </w:rPr>
        <w:t>（2）成交供应商保证在系统过程中不会侵犯第三方的知识产权，否则，一切侵权责任及由此造成的费用均由成交供应商承担。</w:t>
      </w:r>
    </w:p>
    <w:p>
      <w:pPr>
        <w:pStyle w:val="4"/>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2"/>
          <w:highlight w:val="none"/>
          <w:lang w:val="en-US" w:eastAsia="zh-CN" w:bidi="ar-SA"/>
        </w:rPr>
      </w:pPr>
      <w:r>
        <w:rPr>
          <w:rFonts w:hint="eastAsia" w:asciiTheme="minorEastAsia" w:hAnsiTheme="minorEastAsia" w:eastAsiaTheme="minorEastAsia" w:cstheme="minorEastAsia"/>
          <w:b w:val="0"/>
          <w:bCs/>
          <w:color w:val="auto"/>
          <w:kern w:val="2"/>
          <w:sz w:val="21"/>
          <w:szCs w:val="22"/>
          <w:highlight w:val="none"/>
          <w:lang w:val="en-US" w:eastAsia="zh-CN" w:bidi="ar-SA"/>
        </w:rPr>
        <w:t>4.乙方应具备火灾隐患重点地区整治检查涉密数据的收发、制作、传递、使用及保存条件。</w:t>
      </w:r>
    </w:p>
    <w:p>
      <w:pPr>
        <w:pStyle w:val="4"/>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2"/>
          <w:highlight w:val="none"/>
          <w:lang w:val="en-US" w:eastAsia="zh-CN" w:bidi="ar-SA"/>
        </w:rPr>
      </w:pPr>
      <w:r>
        <w:rPr>
          <w:rFonts w:hint="eastAsia" w:asciiTheme="minorEastAsia" w:hAnsiTheme="minorEastAsia" w:eastAsiaTheme="minorEastAsia" w:cstheme="minorEastAsia"/>
          <w:b w:val="0"/>
          <w:bCs/>
          <w:color w:val="auto"/>
          <w:kern w:val="2"/>
          <w:sz w:val="21"/>
          <w:szCs w:val="22"/>
          <w:highlight w:val="none"/>
          <w:lang w:val="en-US" w:eastAsia="zh-CN" w:bidi="ar-SA"/>
        </w:rPr>
        <w:t>5.乙方有义务随时向甲方解释所有过程的检查内容。</w:t>
      </w:r>
    </w:p>
    <w:p>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auto"/>
          <w:kern w:val="2"/>
          <w:sz w:val="21"/>
          <w:szCs w:val="22"/>
          <w:highlight w:val="none"/>
          <w:lang w:val="en-US" w:eastAsia="zh-CN" w:bidi="ar-SA"/>
        </w:rPr>
      </w:pPr>
      <w:r>
        <w:rPr>
          <w:rFonts w:hint="eastAsia" w:asciiTheme="minorEastAsia" w:hAnsiTheme="minorEastAsia" w:eastAsiaTheme="minorEastAsia" w:cstheme="minorEastAsia"/>
          <w:b w:val="0"/>
          <w:bCs/>
          <w:color w:val="auto"/>
          <w:kern w:val="2"/>
          <w:sz w:val="21"/>
          <w:szCs w:val="22"/>
          <w:highlight w:val="none"/>
          <w:lang w:val="en-US" w:eastAsia="zh-CN" w:bidi="ar-SA"/>
        </w:rPr>
        <w:t>6.甲方应向乙方及时转达火灾隐患重点地区整治场所工作的有关台账、文件和通知等重要指导文件，安排相关整治人员协助带路，以便乙方顺利完成合同内容。</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val="en-US" w:eastAsia="zh-CN"/>
        </w:rPr>
        <w:t>八</w:t>
      </w:r>
      <w:r>
        <w:rPr>
          <w:rFonts w:hint="eastAsia" w:asciiTheme="minorEastAsia" w:hAnsiTheme="minorEastAsia" w:eastAsiaTheme="minorEastAsia" w:cstheme="minorEastAsia"/>
          <w:b/>
          <w:color w:val="auto"/>
          <w:highlight w:val="none"/>
        </w:rPr>
        <w:t>、违约责任</w:t>
      </w:r>
    </w:p>
    <w:p>
      <w:pPr>
        <w:spacing w:line="360" w:lineRule="auto"/>
        <w:ind w:left="360" w:hanging="36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因乙方原因</w:t>
      </w:r>
      <w:r>
        <w:rPr>
          <w:rFonts w:hint="eastAsia" w:asciiTheme="minorEastAsia" w:hAnsiTheme="minorEastAsia" w:eastAsiaTheme="minorEastAsia" w:cstheme="minorEastAsia"/>
          <w:bCs/>
          <w:color w:val="auto"/>
          <w:highlight w:val="none"/>
        </w:rPr>
        <w:t>，乙方未能按本合同规定的时间提供服务，从逾期之日起每日按合同总价3‰的数额向甲方支付违约金；逾期15天以上的，甲方有权终止合同，由此造成的甲方经济损失由乙方承担。</w:t>
      </w:r>
    </w:p>
    <w:p>
      <w:pPr>
        <w:spacing w:line="360" w:lineRule="auto"/>
        <w:ind w:left="360" w:hanging="36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2.甲方无正当理由拒绝接受服务，到期拒付服务款项的，甲方向乙方偿付合同总价的5%的违约金。甲方逾期付款，则每日按合同总价的3‰向乙方偿付违约金。</w:t>
      </w:r>
    </w:p>
    <w:p>
      <w:pPr>
        <w:spacing w:line="360" w:lineRule="auto"/>
        <w:ind w:left="360" w:hanging="36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val="en-US" w:eastAsia="zh-CN"/>
        </w:rPr>
        <w:t>九</w:t>
      </w:r>
      <w:r>
        <w:rPr>
          <w:rFonts w:hint="eastAsia" w:asciiTheme="minorEastAsia" w:hAnsiTheme="minorEastAsia" w:eastAsiaTheme="minorEastAsia" w:cstheme="minorEastAsia"/>
          <w:b/>
          <w:color w:val="auto"/>
          <w:highlight w:val="none"/>
        </w:rPr>
        <w:t>、争议的解决</w:t>
      </w:r>
    </w:p>
    <w:p>
      <w:pPr>
        <w:spacing w:line="360" w:lineRule="auto"/>
        <w:ind w:left="314" w:hanging="314" w:hangingChars="14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1. </w:t>
      </w:r>
      <w:r>
        <w:rPr>
          <w:rFonts w:hint="eastAsia" w:asciiTheme="minorEastAsia" w:hAnsiTheme="minorEastAsia" w:eastAsiaTheme="minorEastAsia" w:cstheme="minorEastAsia"/>
          <w:color w:val="auto"/>
          <w:szCs w:val="21"/>
          <w:highlight w:val="none"/>
        </w:rPr>
        <w:t>合同履行过程中发生的任何争议，如双方未能通过友好协商解决，应向</w:t>
      </w:r>
      <w:r>
        <w:rPr>
          <w:rFonts w:hint="eastAsia" w:asciiTheme="minorEastAsia" w:hAnsiTheme="minorEastAsia" w:eastAsiaTheme="minorEastAsia" w:cstheme="minorEastAsia"/>
          <w:color w:val="auto"/>
          <w:szCs w:val="21"/>
          <w:highlight w:val="none"/>
          <w:lang w:val="en-US" w:eastAsia="zh-CN"/>
        </w:rPr>
        <w:t>甲方所在地</w:t>
      </w:r>
      <w:r>
        <w:rPr>
          <w:rFonts w:hint="eastAsia" w:asciiTheme="minorEastAsia" w:hAnsiTheme="minorEastAsia" w:eastAsiaTheme="minorEastAsia" w:cstheme="minorEastAsia"/>
          <w:color w:val="auto"/>
          <w:szCs w:val="21"/>
          <w:highlight w:val="none"/>
        </w:rPr>
        <w:t>人民法院提起诉讼。对交付标的物质量有争议的，统一由佛山市辖属的专业检测机构进行终局鉴定，鉴定结果符合质量技术标准时，鉴定费由委托方承担；否则鉴定费由乙方承担</w:t>
      </w:r>
      <w:r>
        <w:rPr>
          <w:rFonts w:hint="eastAsia" w:asciiTheme="minorEastAsia" w:hAnsiTheme="minorEastAsia" w:eastAsiaTheme="minorEastAsia" w:cstheme="minorEastAsia"/>
          <w:color w:val="auto"/>
          <w:highlight w:val="none"/>
        </w:rPr>
        <w:t>。</w:t>
      </w:r>
    </w:p>
    <w:p>
      <w:pPr>
        <w:tabs>
          <w:tab w:val="left" w:pos="824"/>
        </w:tabs>
        <w:spacing w:line="360" w:lineRule="auto"/>
        <w:ind w:left="211" w:hanging="211" w:hanging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 xml:space="preserve">2. </w:t>
      </w:r>
      <w:r>
        <w:rPr>
          <w:rFonts w:hint="eastAsia" w:asciiTheme="minorEastAsia" w:hAnsiTheme="minorEastAsia" w:eastAsiaTheme="minorEastAsia" w:cstheme="minorEastAsia"/>
          <w:bCs/>
          <w:color w:val="auto"/>
          <w:highlight w:val="none"/>
        </w:rPr>
        <w:t>法院审理期间，除提交法院审理的事项外，其它无争议的事项和条款仍应继续履行</w:t>
      </w:r>
      <w:r>
        <w:rPr>
          <w:rFonts w:hint="eastAsia" w:asciiTheme="minorEastAsia" w:hAnsiTheme="minorEastAsia" w:eastAsiaTheme="minorEastAsia" w:cstheme="minorEastAsia"/>
          <w:color w:val="auto"/>
          <w:highlight w:val="none"/>
        </w:rPr>
        <w:t>。</w:t>
      </w:r>
    </w:p>
    <w:p>
      <w:pPr>
        <w:spacing w:line="360" w:lineRule="auto"/>
        <w:ind w:hanging="84"/>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十、不可抗力 </w:t>
      </w:r>
    </w:p>
    <w:p>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r>
        <w:rPr>
          <w:rFonts w:hint="eastAsia" w:asciiTheme="minorEastAsia" w:hAnsiTheme="minorEastAsia" w:eastAsiaTheme="minorEastAsia" w:cstheme="minorEastAsia"/>
          <w:color w:val="auto"/>
          <w:highlight w:val="none"/>
        </w:rPr>
        <w:t>。</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十</w:t>
      </w:r>
      <w:r>
        <w:rPr>
          <w:rFonts w:hint="eastAsia" w:asciiTheme="minorEastAsia" w:hAnsiTheme="minorEastAsia" w:eastAsiaTheme="minorEastAsia" w:cstheme="minorEastAsia"/>
          <w:b/>
          <w:color w:val="auto"/>
          <w:highlight w:val="none"/>
          <w:lang w:val="en-US" w:eastAsia="zh-CN"/>
        </w:rPr>
        <w:t>一</w:t>
      </w:r>
      <w:r>
        <w:rPr>
          <w:rFonts w:hint="eastAsia" w:asciiTheme="minorEastAsia" w:hAnsiTheme="minorEastAsia" w:eastAsiaTheme="minorEastAsia" w:cstheme="minorEastAsia"/>
          <w:b/>
          <w:color w:val="auto"/>
          <w:highlight w:val="none"/>
        </w:rPr>
        <w:t>、税费</w:t>
      </w: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1．中国政府根据现行税法所征收的一切税费均由各缴税责任方独立承担。</w:t>
      </w:r>
    </w:p>
    <w:p>
      <w:pPr>
        <w:tabs>
          <w:tab w:val="left" w:pos="824"/>
        </w:tabs>
        <w:spacing w:line="360" w:lineRule="auto"/>
        <w:ind w:left="630" w:hanging="63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color w:val="auto"/>
          <w:highlight w:val="none"/>
        </w:rPr>
        <w:t xml:space="preserve"> 在中国境外发生的与本合同相关的一切税费及不可预见费均由乙方负担。</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十</w:t>
      </w:r>
      <w:r>
        <w:rPr>
          <w:rFonts w:hint="eastAsia" w:asciiTheme="minorEastAsia" w:hAnsiTheme="minorEastAsia" w:eastAsiaTheme="minorEastAsia" w:cstheme="minorEastAsia"/>
          <w:b/>
          <w:color w:val="auto"/>
          <w:highlight w:val="none"/>
          <w:lang w:val="en-US" w:eastAsia="zh-CN"/>
        </w:rPr>
        <w:t>二</w:t>
      </w:r>
      <w:r>
        <w:rPr>
          <w:rFonts w:hint="eastAsia" w:asciiTheme="minorEastAsia" w:hAnsiTheme="minorEastAsia" w:eastAsiaTheme="minorEastAsia" w:cstheme="minorEastAsia"/>
          <w:b/>
          <w:color w:val="auto"/>
          <w:highlight w:val="none"/>
        </w:rPr>
        <w:t>、合同生效</w:t>
      </w:r>
    </w:p>
    <w:p>
      <w:pPr>
        <w:tabs>
          <w:tab w:val="left" w:pos="80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本合同在甲、乙双方法人代表或其授权代理人签字</w:t>
      </w:r>
      <w:r>
        <w:rPr>
          <w:rFonts w:hint="eastAsia" w:asciiTheme="minorEastAsia" w:hAnsiTheme="minorEastAsia" w:eastAsiaTheme="minorEastAsia" w:cstheme="minorEastAsia"/>
          <w:color w:val="auto"/>
          <w:highlight w:val="none"/>
          <w:lang w:val="en-US" w:eastAsia="zh-CN"/>
        </w:rPr>
        <w:t>并</w:t>
      </w:r>
      <w:r>
        <w:rPr>
          <w:rFonts w:hint="eastAsia" w:asciiTheme="minorEastAsia" w:hAnsiTheme="minorEastAsia" w:eastAsiaTheme="minorEastAsia" w:cstheme="minorEastAsia"/>
          <w:color w:val="auto"/>
          <w:highlight w:val="none"/>
        </w:rPr>
        <w:t>盖章之日起生效。</w:t>
      </w:r>
    </w:p>
    <w:p>
      <w:pPr>
        <w:spacing w:line="360" w:lineRule="auto"/>
        <w:ind w:left="840" w:hanging="84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十</w:t>
      </w:r>
      <w:r>
        <w:rPr>
          <w:rFonts w:hint="eastAsia" w:asciiTheme="minorEastAsia" w:hAnsiTheme="minorEastAsia" w:eastAsiaTheme="minorEastAsia" w:cstheme="minorEastAsia"/>
          <w:b/>
          <w:color w:val="auto"/>
          <w:highlight w:val="none"/>
          <w:lang w:val="en-US" w:eastAsia="zh-CN"/>
        </w:rPr>
        <w:t>三</w:t>
      </w:r>
      <w:r>
        <w:rPr>
          <w:rFonts w:hint="eastAsia" w:asciiTheme="minorEastAsia" w:hAnsiTheme="minorEastAsia" w:eastAsiaTheme="minorEastAsia" w:cstheme="minorEastAsia"/>
          <w:b/>
          <w:color w:val="auto"/>
          <w:highlight w:val="none"/>
        </w:rPr>
        <w:t>、其它</w:t>
      </w:r>
    </w:p>
    <w:p>
      <w:pPr>
        <w:spacing w:line="360" w:lineRule="auto"/>
        <w:ind w:left="314" w:hanging="314" w:hangingChars="1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color w:val="auto"/>
          <w:highlight w:val="none"/>
        </w:rPr>
        <w:t xml:space="preserve"> 所有经双方或多方签署确认的文件（包括会议纪要、补充协议、往来信函）、采购文件和投标文件、合同的附件及《中标通知书》均为本合同不可分割的有效组成部分，与本合同具有同等的法律效力和履约义务，其生效日期为签字盖章确认之日期。</w:t>
      </w:r>
    </w:p>
    <w:p>
      <w:pPr>
        <w:spacing w:line="360" w:lineRule="auto"/>
        <w:ind w:left="314" w:hanging="314" w:hangingChars="1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 xml:space="preserve">2. </w:t>
      </w:r>
      <w:r>
        <w:rPr>
          <w:rFonts w:hint="eastAsia" w:asciiTheme="minorEastAsia" w:hAnsiTheme="minorEastAsia" w:eastAsiaTheme="minorEastAsia" w:cstheme="minorEastAsia"/>
          <w:color w:val="auto"/>
          <w:highlight w:val="none"/>
        </w:rPr>
        <w:t xml:space="preserve">如一方地址、电话、传真号码有变更，应在变更当日内书面通知对方，否则，应承担相应责任。 </w:t>
      </w:r>
    </w:p>
    <w:p>
      <w:pPr>
        <w:spacing w:line="360" w:lineRule="auto"/>
        <w:ind w:left="211" w:hanging="211" w:hangingChars="1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3. </w:t>
      </w:r>
      <w:r>
        <w:rPr>
          <w:rFonts w:hint="eastAsia" w:asciiTheme="minorEastAsia" w:hAnsiTheme="minorEastAsia" w:eastAsiaTheme="minorEastAsia" w:cstheme="minorEastAsia"/>
          <w:bCs/>
          <w:color w:val="auto"/>
          <w:highlight w:val="none"/>
          <w:lang w:val="en-US" w:eastAsia="zh-CN"/>
        </w:rPr>
        <w:t>乙方不得分包、转包，不得由第三方履行其合同项下的义务</w:t>
      </w:r>
      <w:r>
        <w:rPr>
          <w:rFonts w:hint="eastAsia" w:asciiTheme="minorEastAsia" w:hAnsiTheme="minorEastAsia" w:eastAsiaTheme="minorEastAsia" w:cstheme="minorEastAsia"/>
          <w:color w:val="auto"/>
          <w:highlight w:val="none"/>
        </w:rPr>
        <w:t>。</w:t>
      </w:r>
    </w:p>
    <w:p>
      <w:pPr>
        <w:spacing w:line="360" w:lineRule="auto"/>
        <w:ind w:left="310" w:hanging="310" w:hangingChars="14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w:t>
      </w:r>
      <w:r>
        <w:rPr>
          <w:rFonts w:hint="eastAsia" w:asciiTheme="minorEastAsia" w:hAnsiTheme="minorEastAsia" w:eastAsiaTheme="minorEastAsia" w:cstheme="minorEastAsia"/>
          <w:color w:val="auto"/>
          <w:highlight w:val="none"/>
        </w:rPr>
        <w:t xml:space="preserve"> 本合同一式</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份，甲方执</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份、乙方执</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份，采购代理机构执两份。</w:t>
      </w:r>
    </w:p>
    <w:p>
      <w:pPr>
        <w:spacing w:line="360" w:lineRule="auto"/>
        <w:ind w:left="630" w:hanging="63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5. </w:t>
      </w:r>
      <w:r>
        <w:rPr>
          <w:rFonts w:hint="eastAsia" w:asciiTheme="minorEastAsia" w:hAnsiTheme="minorEastAsia" w:eastAsiaTheme="minorEastAsia" w:cstheme="minorEastAsia"/>
          <w:color w:val="auto"/>
          <w:highlight w:val="none"/>
        </w:rPr>
        <w:t>本合同共计</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页A4纸张，缺页之合同为无效合同。</w:t>
      </w: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 xml:space="preserve">6. </w:t>
      </w:r>
      <w:r>
        <w:rPr>
          <w:rFonts w:hint="eastAsia" w:asciiTheme="minorEastAsia" w:hAnsiTheme="minorEastAsia" w:eastAsiaTheme="minorEastAsia" w:cstheme="minorEastAsia"/>
          <w:color w:val="auto"/>
          <w:highlight w:val="none"/>
        </w:rPr>
        <w:t>本合同签约履约地点：广东省佛山市。</w:t>
      </w:r>
    </w:p>
    <w:p>
      <w:pPr>
        <w:autoSpaceDE w:val="0"/>
        <w:autoSpaceDN w:val="0"/>
        <w:adjustRightInd w:val="0"/>
        <w:spacing w:before="2" w:line="360" w:lineRule="auto"/>
        <w:ind w:right="-2"/>
        <w:jc w:val="left"/>
        <w:rPr>
          <w:rFonts w:hint="eastAsia" w:asciiTheme="minorEastAsia" w:hAnsiTheme="minorEastAsia" w:eastAsiaTheme="minorEastAsia" w:cstheme="minorEastAsia"/>
          <w:b/>
          <w:color w:val="auto"/>
          <w:sz w:val="24"/>
          <w:highlight w:val="none"/>
        </w:rPr>
      </w:pPr>
    </w:p>
    <w:p>
      <w:pPr>
        <w:autoSpaceDE w:val="0"/>
        <w:autoSpaceDN w:val="0"/>
        <w:adjustRightInd w:val="0"/>
        <w:spacing w:before="2" w:line="360" w:lineRule="auto"/>
        <w:ind w:right="-2"/>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（完）</w:t>
      </w:r>
    </w:p>
    <w:p>
      <w:pPr>
        <w:spacing w:line="360" w:lineRule="auto"/>
        <w:rPr>
          <w:rFonts w:hint="eastAsia" w:asciiTheme="minorEastAsia" w:hAnsiTheme="minorEastAsia" w:eastAsiaTheme="minorEastAsia" w:cstheme="minorEastAsia"/>
          <w:color w:val="auto"/>
          <w:highlight w:val="none"/>
        </w:rPr>
      </w:pPr>
    </w:p>
    <w:p>
      <w:pPr>
        <w:spacing w:line="360" w:lineRule="auto"/>
        <w:rPr>
          <w:rFonts w:hint="eastAsia" w:asciiTheme="minorEastAsia" w:hAnsiTheme="minorEastAsia" w:eastAsiaTheme="minorEastAsia" w:cstheme="minorEastAsia"/>
          <w:color w:val="auto"/>
          <w:highlight w:val="none"/>
        </w:rPr>
      </w:pPr>
    </w:p>
    <w:tbl>
      <w:tblPr>
        <w:tblStyle w:val="24"/>
        <w:tblW w:w="0" w:type="auto"/>
        <w:tblInd w:w="-72" w:type="dxa"/>
        <w:tblLayout w:type="fixed"/>
        <w:tblCellMar>
          <w:top w:w="0" w:type="dxa"/>
          <w:left w:w="108" w:type="dxa"/>
          <w:bottom w:w="0" w:type="dxa"/>
          <w:right w:w="108" w:type="dxa"/>
        </w:tblCellMar>
      </w:tblPr>
      <w:tblGrid>
        <w:gridCol w:w="4828"/>
        <w:gridCol w:w="4517"/>
      </w:tblGrid>
      <w:tr>
        <w:trPr>
          <w:trHeight w:val="3081" w:hRule="atLeast"/>
        </w:trPr>
        <w:tc>
          <w:tcPr>
            <w:tcW w:w="4828" w:type="dxa"/>
            <w:noWrap w:val="0"/>
            <w:vAlign w:val="top"/>
          </w:tcPr>
          <w:p>
            <w:pPr>
              <w:spacing w:line="48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甲方（盖章）：</w:t>
            </w:r>
          </w:p>
          <w:p>
            <w:pPr>
              <w:spacing w:line="360" w:lineRule="auto"/>
              <w:rPr>
                <w:rFonts w:hint="eastAsia" w:asciiTheme="minorEastAsia" w:hAnsiTheme="minorEastAsia" w:eastAsiaTheme="minorEastAsia" w:cstheme="minorEastAsia"/>
                <w:color w:val="auto"/>
                <w:highlight w:val="none"/>
                <w:u w:val="dotted"/>
              </w:rPr>
            </w:pP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highlight w:val="none"/>
                <w:u w:val="dotted"/>
              </w:rPr>
              <w:t xml:space="preserve">                           </w:t>
            </w: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授权代理人：                              </w:t>
            </w:r>
          </w:p>
          <w:p>
            <w:pPr>
              <w:spacing w:line="360" w:lineRule="auto"/>
              <w:rPr>
                <w:rFonts w:hint="eastAsia" w:asciiTheme="minorEastAsia" w:hAnsiTheme="minorEastAsia" w:eastAsiaTheme="minorEastAsia" w:cstheme="minorEastAsia"/>
                <w:color w:val="auto"/>
                <w:highlight w:val="none"/>
                <w:u w:val="dotted"/>
              </w:rPr>
            </w:pPr>
            <w:r>
              <w:rPr>
                <w:rFonts w:hint="eastAsia" w:asciiTheme="minorEastAsia" w:hAnsiTheme="minorEastAsia" w:eastAsiaTheme="minorEastAsia" w:cstheme="minorEastAsia"/>
                <w:color w:val="auto"/>
                <w:highlight w:val="none"/>
              </w:rPr>
              <w:t xml:space="preserve">项目负责人： </w:t>
            </w:r>
            <w:r>
              <w:rPr>
                <w:rFonts w:hint="eastAsia" w:asciiTheme="minorEastAsia" w:hAnsiTheme="minorEastAsia" w:eastAsiaTheme="minorEastAsia" w:cstheme="minorEastAsia"/>
                <w:color w:val="auto"/>
                <w:highlight w:val="none"/>
                <w:u w:val="dotted"/>
              </w:rPr>
              <w:t xml:space="preserve">                      </w:t>
            </w:r>
          </w:p>
          <w:p>
            <w:pPr>
              <w:spacing w:line="360" w:lineRule="auto"/>
              <w:rPr>
                <w:rFonts w:hint="eastAsia" w:asciiTheme="minorEastAsia" w:hAnsiTheme="minorEastAsia" w:eastAsiaTheme="minorEastAsia" w:cstheme="minorEastAsia"/>
                <w:color w:val="auto"/>
                <w:highlight w:val="none"/>
                <w:u w:val="dotted"/>
              </w:rPr>
            </w:pPr>
            <w:r>
              <w:rPr>
                <w:rFonts w:hint="eastAsia" w:asciiTheme="minorEastAsia" w:hAnsiTheme="minorEastAsia" w:eastAsiaTheme="minorEastAsia" w:cstheme="minorEastAsia"/>
                <w:color w:val="auto"/>
                <w:highlight w:val="none"/>
              </w:rPr>
              <w:t>地址：</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日期：           年     月    日</w:t>
            </w:r>
          </w:p>
        </w:tc>
        <w:tc>
          <w:tcPr>
            <w:tcW w:w="4517" w:type="dxa"/>
            <w:noWrap w:val="0"/>
            <w:vAlign w:val="top"/>
          </w:tcPr>
          <w:p>
            <w:pPr>
              <w:spacing w:line="48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乙方（盖章）：</w:t>
            </w:r>
          </w:p>
          <w:p>
            <w:pPr>
              <w:spacing w:line="360" w:lineRule="auto"/>
              <w:rPr>
                <w:rFonts w:hint="eastAsia" w:asciiTheme="minorEastAsia" w:hAnsiTheme="minorEastAsia" w:eastAsiaTheme="minorEastAsia" w:cstheme="minorEastAsia"/>
                <w:color w:val="auto"/>
                <w:highlight w:val="none"/>
                <w:u w:val="dotted"/>
              </w:rPr>
            </w:pP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highlight w:val="none"/>
                <w:u w:val="dotted"/>
              </w:rPr>
              <w:t xml:space="preserve">                           </w:t>
            </w:r>
          </w:p>
          <w:p>
            <w:pPr>
              <w:rPr>
                <w:rFonts w:hint="eastAsia" w:asciiTheme="minorEastAsia" w:hAnsiTheme="minorEastAsia" w:eastAsiaTheme="minorEastAsia" w:cstheme="minorEastAsia"/>
                <w:color w:val="auto"/>
                <w:highlight w:val="none"/>
                <w:u w:val="dotted"/>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日期：        年     月     日</w:t>
            </w:r>
          </w:p>
        </w:tc>
      </w:tr>
      <w:tr>
        <w:tblPrEx>
          <w:tblCellMar>
            <w:top w:w="0" w:type="dxa"/>
            <w:left w:w="108" w:type="dxa"/>
            <w:bottom w:w="0" w:type="dxa"/>
            <w:right w:w="108" w:type="dxa"/>
          </w:tblCellMar>
        </w:tblPrEx>
        <w:trPr>
          <w:trHeight w:val="2730" w:hRule="atLeast"/>
        </w:trPr>
        <w:tc>
          <w:tcPr>
            <w:tcW w:w="4828" w:type="dxa"/>
            <w:noWrap w:val="0"/>
            <w:vAlign w:val="top"/>
          </w:tcPr>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见证单位：</w:t>
            </w:r>
            <w:r>
              <w:rPr>
                <w:rFonts w:hint="eastAsia" w:asciiTheme="minorEastAsia" w:hAnsiTheme="minorEastAsia" w:eastAsiaTheme="minorEastAsia" w:cstheme="minorEastAsia"/>
                <w:b/>
                <w:bCs/>
                <w:color w:val="auto"/>
                <w:highlight w:val="none"/>
                <w:lang w:eastAsia="zh-CN"/>
              </w:rPr>
              <w:t>广东远东招标代理有限公司</w:t>
            </w:r>
          </w:p>
          <w:p>
            <w:pPr>
              <w:spacing w:line="360" w:lineRule="auto"/>
              <w:rPr>
                <w:rFonts w:hint="eastAsia" w:asciiTheme="minorEastAsia" w:hAnsiTheme="minorEastAsia" w:eastAsiaTheme="minorEastAsia" w:cstheme="minorEastAsia"/>
                <w:color w:val="auto"/>
                <w:highlight w:val="none"/>
              </w:rPr>
            </w:pP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见 证 人：</w:t>
            </w:r>
            <w:r>
              <w:rPr>
                <w:rFonts w:hint="eastAsia" w:asciiTheme="minorEastAsia" w:hAnsiTheme="minorEastAsia" w:eastAsiaTheme="minorEastAsia" w:cstheme="minorEastAsia"/>
                <w:color w:val="auto"/>
                <w:highlight w:val="none"/>
                <w:u w:val="dotted"/>
              </w:rPr>
              <w:t xml:space="preserve">              </w:t>
            </w:r>
            <w:r>
              <w:rPr>
                <w:rFonts w:hint="eastAsia" w:asciiTheme="minorEastAsia" w:hAnsiTheme="minorEastAsia" w:eastAsiaTheme="minorEastAsia" w:cstheme="minorEastAsia"/>
                <w:color w:val="auto"/>
                <w:highlight w:val="none"/>
              </w:rPr>
              <w:t xml:space="preserve"> </w:t>
            </w:r>
          </w:p>
          <w:p>
            <w:pPr>
              <w:spacing w:line="360" w:lineRule="auto"/>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lang w:eastAsia="zh-CN"/>
              </w:rPr>
              <w:t>0757-83332528</w:t>
            </w:r>
          </w:p>
          <w:p>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法定代表：</w:t>
            </w:r>
            <w:r>
              <w:rPr>
                <w:rFonts w:hint="eastAsia" w:asciiTheme="minorEastAsia" w:hAnsiTheme="minorEastAsia" w:eastAsiaTheme="minorEastAsia" w:cstheme="minorEastAsia"/>
                <w:color w:val="auto"/>
                <w:highlight w:val="none"/>
                <w:lang w:eastAsia="zh-CN"/>
              </w:rPr>
              <w:t>钟银英</w:t>
            </w:r>
          </w:p>
          <w:p>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地址：广州市越秀区越秀北路222号越良大厦六楼</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合同生效日期：</w:t>
            </w:r>
            <w:r>
              <w:rPr>
                <w:rFonts w:hint="eastAsia" w:asciiTheme="minorEastAsia" w:hAnsiTheme="minorEastAsia" w:eastAsiaTheme="minorEastAsia" w:cstheme="minorEastAsia"/>
                <w:b/>
                <w:color w:val="auto"/>
                <w:highlight w:val="none"/>
                <w:lang w:eastAsia="zh-CN"/>
              </w:rPr>
              <w:t>2021</w:t>
            </w:r>
            <w:r>
              <w:rPr>
                <w:rFonts w:hint="eastAsia" w:asciiTheme="minorEastAsia" w:hAnsiTheme="minorEastAsia" w:eastAsiaTheme="minorEastAsia" w:cstheme="minorEastAsia"/>
                <w:b/>
                <w:color w:val="auto"/>
                <w:highlight w:val="none"/>
              </w:rPr>
              <w:t xml:space="preserve">年     月     日  </w:t>
            </w:r>
          </w:p>
        </w:tc>
        <w:tc>
          <w:tcPr>
            <w:tcW w:w="4517" w:type="dxa"/>
            <w:noWrap w:val="0"/>
            <w:vAlign w:val="top"/>
          </w:tcPr>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收款方、开票方须与乙方一致；专户为：</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开户名称：</w:t>
            </w:r>
          </w:p>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银行帐号：</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开 户 行：</w:t>
            </w:r>
          </w:p>
        </w:tc>
      </w:tr>
    </w:tbl>
    <w:p>
      <w:pPr>
        <w:rPr>
          <w:rFonts w:hint="eastAsia" w:asciiTheme="minorEastAsia" w:hAnsiTheme="minorEastAsia" w:eastAsiaTheme="minorEastAsia" w:cstheme="minorEastAsia"/>
          <w:color w:val="auto"/>
          <w:highlight w:val="none"/>
        </w:rPr>
        <w:sectPr>
          <w:headerReference r:id="rId18" w:type="first"/>
          <w:footerReference r:id="rId21" w:type="first"/>
          <w:headerReference r:id="rId16" w:type="default"/>
          <w:footerReference r:id="rId19" w:type="default"/>
          <w:headerReference r:id="rId17" w:type="even"/>
          <w:footerReference r:id="rId20" w:type="even"/>
          <w:pgSz w:w="11906" w:h="16838"/>
          <w:pgMar w:top="1134" w:right="1134" w:bottom="1134" w:left="1587" w:header="567" w:footer="737" w:gutter="0"/>
          <w:pgNumType w:fmt="decimal"/>
          <w:cols w:space="720" w:num="1"/>
          <w:docGrid w:linePitch="312" w:charSpace="0"/>
        </w:sectPr>
      </w:pPr>
    </w:p>
    <w:p>
      <w:pPr>
        <w:pStyle w:val="7"/>
        <w:pageBreakBefore/>
        <w:spacing w:line="360" w:lineRule="auto"/>
        <w:ind w:left="0" w:firstLine="0"/>
        <w:rPr>
          <w:rFonts w:hint="eastAsia" w:asciiTheme="minorEastAsia" w:hAnsiTheme="minorEastAsia" w:eastAsiaTheme="minorEastAsia" w:cstheme="minorEastAsia"/>
          <w:b w:val="0"/>
          <w:bCs/>
          <w:color w:val="auto"/>
          <w:highlight w:val="none"/>
        </w:rPr>
        <w:sectPr>
          <w:pgSz w:w="11906" w:h="16838"/>
          <w:pgMar w:top="1134" w:right="1134" w:bottom="1134" w:left="1587" w:header="567" w:footer="737" w:gutter="0"/>
          <w:pgNumType w:fmt="decimal"/>
          <w:cols w:space="720" w:num="1"/>
          <w:docGrid w:linePitch="312" w:charSpace="0"/>
        </w:sectPr>
      </w:pPr>
      <w:bookmarkStart w:id="299" w:name="_Toc26775"/>
      <w:bookmarkStart w:id="300" w:name="_Toc525312049"/>
      <w:bookmarkStart w:id="301" w:name="_Toc325031941"/>
      <w:bookmarkStart w:id="302" w:name="_Toc259803668"/>
      <w:bookmarkStart w:id="303" w:name="_Toc29460"/>
      <w:bookmarkStart w:id="304" w:name="_Toc23326"/>
      <w:bookmarkStart w:id="305" w:name="_Toc11753"/>
      <w:bookmarkStart w:id="306" w:name="_Toc12025"/>
      <w:bookmarkStart w:id="307" w:name="_Toc2681"/>
      <w:bookmarkStart w:id="308" w:name="_Toc419106562"/>
      <w:bookmarkStart w:id="309" w:name="_Toc373767198"/>
      <w:bookmarkStart w:id="310" w:name="_Toc310519885"/>
      <w:r>
        <w:rPr>
          <w:rFonts w:hint="eastAsia" w:asciiTheme="minorEastAsia" w:hAnsiTheme="minorEastAsia" w:eastAsiaTheme="minorEastAsia" w:cstheme="minorEastAsia"/>
          <w:b w:val="0"/>
          <w:bCs/>
          <w:color w:val="auto"/>
          <w:highlight w:val="none"/>
        </w:rPr>
        <w:t>第五部分   响应文件格式</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pStyle w:val="9"/>
        <w:pageBreakBefore/>
        <w:spacing w:after="120" w:afterLines="0"/>
        <w:ind w:left="-6"/>
        <w:rPr>
          <w:rFonts w:hint="eastAsia" w:asciiTheme="minorEastAsia" w:hAnsiTheme="minorEastAsia" w:eastAsiaTheme="minorEastAsia" w:cstheme="minorEastAsia"/>
          <w:b w:val="0"/>
          <w:color w:val="auto"/>
          <w:sz w:val="48"/>
          <w:szCs w:val="48"/>
          <w:highlight w:val="none"/>
        </w:rPr>
      </w:pPr>
      <w:bookmarkStart w:id="311" w:name="_投标文件目录"/>
      <w:bookmarkEnd w:id="311"/>
      <w:bookmarkStart w:id="312" w:name="_Toc373767199"/>
      <w:bookmarkStart w:id="313" w:name="_Toc419106563"/>
      <w:bookmarkStart w:id="314" w:name="_Toc25312"/>
      <w:bookmarkStart w:id="315" w:name="_Toc24433"/>
      <w:bookmarkStart w:id="316" w:name="_Toc325031942"/>
      <w:bookmarkStart w:id="317" w:name="_Toc200168795"/>
      <w:bookmarkStart w:id="318" w:name="_Toc310519886"/>
      <w:bookmarkStart w:id="319" w:name="_Toc18006"/>
      <w:bookmarkStart w:id="320" w:name="_Toc49329265"/>
      <w:bookmarkStart w:id="321" w:name="_Toc37670363"/>
      <w:bookmarkStart w:id="322" w:name="_Toc29817726"/>
      <w:bookmarkStart w:id="323" w:name="_Toc26261460"/>
      <w:bookmarkStart w:id="324" w:name="_Toc25726413"/>
      <w:bookmarkStart w:id="325" w:name="_Hlt113163463"/>
      <w:bookmarkStart w:id="326" w:name="_Hlt113175082"/>
      <w:bookmarkStart w:id="327" w:name="_Hlt113175081"/>
      <w:bookmarkStart w:id="328" w:name="_Hlt113163462"/>
      <w:bookmarkStart w:id="329" w:name="_Toc34980753"/>
      <w:r>
        <w:rPr>
          <w:rFonts w:hint="eastAsia" w:asciiTheme="minorEastAsia" w:hAnsiTheme="minorEastAsia" w:eastAsiaTheme="minorEastAsia" w:cstheme="minorEastAsia"/>
          <w:b w:val="0"/>
          <w:color w:val="auto"/>
          <w:sz w:val="48"/>
          <w:szCs w:val="48"/>
          <w:highlight w:val="none"/>
        </w:rPr>
        <w:t>响应文件目录</w:t>
      </w:r>
      <w:bookmarkEnd w:id="312"/>
      <w:bookmarkEnd w:id="313"/>
      <w:bookmarkEnd w:id="314"/>
      <w:bookmarkEnd w:id="315"/>
      <w:bookmarkEnd w:id="316"/>
      <w:bookmarkEnd w:id="317"/>
      <w:bookmarkEnd w:id="318"/>
      <w:bookmarkEnd w:id="319"/>
    </w:p>
    <w:p>
      <w:pPr>
        <w:spacing w:line="360" w:lineRule="auto"/>
        <w:jc w:val="center"/>
        <w:rPr>
          <w:rFonts w:hint="eastAsia" w:asciiTheme="minorEastAsia" w:hAnsiTheme="minorEastAsia" w:eastAsiaTheme="minorEastAsia" w:cstheme="minorEastAsia"/>
          <w:b/>
          <w:color w:val="auto"/>
          <w:sz w:val="32"/>
          <w:szCs w:val="32"/>
          <w:highlight w:val="none"/>
        </w:rPr>
      </w:pPr>
      <w:bookmarkStart w:id="330" w:name="_Toc224094430"/>
      <w:bookmarkStart w:id="331" w:name="_Toc286240891"/>
      <w:bookmarkStart w:id="332" w:name="_Toc217623813"/>
      <w:r>
        <w:rPr>
          <w:rFonts w:hint="eastAsia" w:asciiTheme="minorEastAsia" w:hAnsiTheme="minorEastAsia" w:eastAsiaTheme="minorEastAsia" w:cstheme="minorEastAsia"/>
          <w:b/>
          <w:color w:val="auto"/>
          <w:sz w:val="32"/>
          <w:szCs w:val="32"/>
          <w:highlight w:val="none"/>
          <w:lang w:eastAsia="zh-CN"/>
        </w:rPr>
        <w:t>响应文件</w:t>
      </w:r>
      <w:r>
        <w:rPr>
          <w:rFonts w:hint="eastAsia" w:asciiTheme="minorEastAsia" w:hAnsiTheme="minorEastAsia" w:eastAsiaTheme="minorEastAsia" w:cstheme="minorEastAsia"/>
          <w:b/>
          <w:color w:val="auto"/>
          <w:sz w:val="32"/>
          <w:szCs w:val="32"/>
          <w:highlight w:val="none"/>
        </w:rPr>
        <w:t>封面及目录部分</w:t>
      </w:r>
      <w:bookmarkEnd w:id="330"/>
      <w:bookmarkEnd w:id="331"/>
      <w:bookmarkEnd w:id="332"/>
    </w:p>
    <w:p>
      <w:pPr>
        <w:rPr>
          <w:rFonts w:hint="eastAsia" w:asciiTheme="minorEastAsia" w:hAnsiTheme="minorEastAsia" w:eastAsiaTheme="minorEastAsia" w:cstheme="minorEastAsia"/>
          <w:color w:val="auto"/>
          <w:highlight w:val="none"/>
        </w:rPr>
      </w:pPr>
    </w:p>
    <w:p>
      <w:pPr>
        <w:pStyle w:val="30"/>
        <w:rPr>
          <w:rFonts w:hint="eastAsia" w:asciiTheme="minorEastAsia" w:hAnsiTheme="minorEastAsia" w:eastAsiaTheme="minorEastAsia" w:cstheme="minorEastAsia"/>
          <w:color w:val="auto"/>
          <w:highlight w:val="none"/>
        </w:rPr>
      </w:pPr>
    </w:p>
    <w:p>
      <w:pPr>
        <w:numPr>
          <w:ilvl w:val="0"/>
          <w:numId w:val="22"/>
        </w:numPr>
        <w:tabs>
          <w:tab w:val="left" w:pos="720"/>
          <w:tab w:val="clear" w:pos="695"/>
        </w:tabs>
        <w:spacing w:line="480" w:lineRule="auto"/>
        <w:ind w:left="720" w:hanging="540"/>
        <w:jc w:val="left"/>
        <w:rPr>
          <w:rFonts w:hint="eastAsia" w:asciiTheme="minorEastAsia" w:hAnsiTheme="minorEastAsia" w:eastAsiaTheme="minorEastAsia" w:cstheme="minorEastAsia"/>
          <w:b/>
          <w:color w:val="auto"/>
          <w:sz w:val="28"/>
          <w:szCs w:val="28"/>
          <w:highlight w:val="none"/>
        </w:rPr>
      </w:pPr>
      <w:bookmarkStart w:id="333" w:name="_法定代表人授权书"/>
      <w:bookmarkEnd w:id="333"/>
      <w:bookmarkStart w:id="334" w:name="_投标资格文件清单"/>
      <w:bookmarkEnd w:id="334"/>
      <w:bookmarkStart w:id="335" w:name="_初审文件清单"/>
      <w:bookmarkEnd w:id="335"/>
      <w:bookmarkStart w:id="336" w:name="_资格性文件清单"/>
      <w:bookmarkEnd w:id="336"/>
      <w:bookmarkStart w:id="337" w:name="_Toc16555"/>
      <w:bookmarkStart w:id="338" w:name="_Toc10327"/>
      <w:bookmarkStart w:id="339" w:name="_Toc136682915"/>
      <w:bookmarkStart w:id="340" w:name="_Toc159385074"/>
      <w:bookmarkStart w:id="341" w:name="_Toc136662939"/>
      <w:r>
        <w:rPr>
          <w:rFonts w:hint="eastAsia" w:asciiTheme="minorEastAsia" w:hAnsiTheme="minorEastAsia" w:eastAsiaTheme="minorEastAsia" w:cstheme="minorEastAsia"/>
          <w:b/>
          <w:color w:val="auto"/>
          <w:sz w:val="28"/>
          <w:szCs w:val="28"/>
          <w:highlight w:val="none"/>
        </w:rPr>
        <w:t>投标人应按本《</w:t>
      </w:r>
      <w:r>
        <w:rPr>
          <w:rFonts w:hint="eastAsia" w:asciiTheme="minorEastAsia" w:hAnsiTheme="minorEastAsia" w:eastAsiaTheme="minorEastAsia" w:cstheme="minorEastAsia"/>
          <w:b/>
          <w:color w:val="auto"/>
          <w:sz w:val="28"/>
          <w:szCs w:val="28"/>
          <w:highlight w:val="none"/>
          <w:lang w:eastAsia="zh-CN"/>
        </w:rPr>
        <w:t>采购文件</w:t>
      </w:r>
      <w:r>
        <w:rPr>
          <w:rFonts w:hint="eastAsia" w:asciiTheme="minorEastAsia" w:hAnsiTheme="minorEastAsia" w:eastAsiaTheme="minorEastAsia" w:cstheme="minorEastAsia"/>
          <w:b/>
          <w:color w:val="auto"/>
          <w:sz w:val="28"/>
          <w:szCs w:val="28"/>
          <w:highlight w:val="none"/>
        </w:rPr>
        <w:t>》要求，自行设计和编制</w:t>
      </w:r>
      <w:r>
        <w:rPr>
          <w:rFonts w:hint="eastAsia" w:asciiTheme="minorEastAsia" w:hAnsiTheme="minorEastAsia" w:eastAsiaTheme="minorEastAsia" w:cstheme="minorEastAsia"/>
          <w:b/>
          <w:color w:val="auto"/>
          <w:sz w:val="28"/>
          <w:szCs w:val="28"/>
          <w:highlight w:val="none"/>
          <w:lang w:eastAsia="zh-CN"/>
        </w:rPr>
        <w:t>响应文件</w:t>
      </w:r>
      <w:r>
        <w:rPr>
          <w:rFonts w:hint="eastAsia" w:asciiTheme="minorEastAsia" w:hAnsiTheme="minorEastAsia" w:eastAsiaTheme="minorEastAsia" w:cstheme="minorEastAsia"/>
          <w:b/>
          <w:color w:val="auto"/>
          <w:sz w:val="28"/>
          <w:szCs w:val="28"/>
          <w:highlight w:val="none"/>
        </w:rPr>
        <w:t>的封面和目录部分。</w:t>
      </w:r>
    </w:p>
    <w:p>
      <w:pPr>
        <w:numPr>
          <w:ilvl w:val="0"/>
          <w:numId w:val="22"/>
        </w:numPr>
        <w:tabs>
          <w:tab w:val="left" w:pos="720"/>
          <w:tab w:val="clear" w:pos="695"/>
        </w:tabs>
        <w:spacing w:line="480" w:lineRule="auto"/>
        <w:ind w:left="900" w:hanging="72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eastAsia="zh-CN"/>
        </w:rPr>
        <w:t>响应文件</w:t>
      </w:r>
      <w:r>
        <w:rPr>
          <w:rFonts w:hint="eastAsia" w:asciiTheme="minorEastAsia" w:hAnsiTheme="minorEastAsia" w:eastAsiaTheme="minorEastAsia" w:cstheme="minorEastAsia"/>
          <w:b/>
          <w:color w:val="auto"/>
          <w:sz w:val="28"/>
          <w:szCs w:val="28"/>
          <w:highlight w:val="none"/>
        </w:rPr>
        <w:t>封面上须包含但不限于以下内容：</w:t>
      </w:r>
    </w:p>
    <w:p>
      <w:pPr>
        <w:numPr>
          <w:ilvl w:val="1"/>
          <w:numId w:val="22"/>
        </w:numPr>
        <w:tabs>
          <w:tab w:val="left" w:pos="1440"/>
          <w:tab w:val="clear" w:pos="1115"/>
        </w:tabs>
        <w:spacing w:line="480" w:lineRule="auto"/>
        <w:ind w:hanging="215"/>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项目名称和项目编号；</w:t>
      </w:r>
    </w:p>
    <w:p>
      <w:pPr>
        <w:numPr>
          <w:ilvl w:val="1"/>
          <w:numId w:val="22"/>
        </w:numPr>
        <w:tabs>
          <w:tab w:val="left" w:pos="1440"/>
          <w:tab w:val="clear" w:pos="1115"/>
        </w:tabs>
        <w:spacing w:line="480" w:lineRule="auto"/>
        <w:ind w:hanging="215"/>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投标人名称；</w:t>
      </w:r>
    </w:p>
    <w:p>
      <w:pPr>
        <w:numPr>
          <w:ilvl w:val="1"/>
          <w:numId w:val="22"/>
        </w:numPr>
        <w:tabs>
          <w:tab w:val="left" w:pos="1440"/>
          <w:tab w:val="clear" w:pos="1115"/>
        </w:tabs>
        <w:spacing w:line="480" w:lineRule="auto"/>
        <w:ind w:hanging="215"/>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授权代表姓名及联系电话（含传真号码）</w:t>
      </w:r>
    </w:p>
    <w:p>
      <w:pPr>
        <w:numPr>
          <w:ilvl w:val="1"/>
          <w:numId w:val="22"/>
        </w:numPr>
        <w:tabs>
          <w:tab w:val="left" w:pos="1440"/>
          <w:tab w:val="clear" w:pos="1115"/>
        </w:tabs>
        <w:spacing w:line="480" w:lineRule="auto"/>
        <w:ind w:hanging="215"/>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注明“正本”或“副本”字样。</w:t>
      </w:r>
    </w:p>
    <w:p>
      <w:pPr>
        <w:numPr>
          <w:ilvl w:val="0"/>
          <w:numId w:val="22"/>
        </w:numPr>
        <w:tabs>
          <w:tab w:val="left" w:pos="720"/>
          <w:tab w:val="clear" w:pos="695"/>
        </w:tabs>
        <w:spacing w:line="480" w:lineRule="auto"/>
        <w:ind w:left="720" w:hanging="54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lang w:eastAsia="zh-CN"/>
        </w:rPr>
        <w:t>响应文件</w:t>
      </w:r>
      <w:r>
        <w:rPr>
          <w:rFonts w:hint="eastAsia" w:asciiTheme="minorEastAsia" w:hAnsiTheme="minorEastAsia" w:eastAsiaTheme="minorEastAsia" w:cstheme="minorEastAsia"/>
          <w:b/>
          <w:color w:val="auto"/>
          <w:sz w:val="28"/>
          <w:szCs w:val="28"/>
          <w:highlight w:val="none"/>
        </w:rPr>
        <w:t>必须编制目录，且目录必须清晰、准确，与</w:t>
      </w:r>
      <w:r>
        <w:rPr>
          <w:rFonts w:hint="eastAsia" w:asciiTheme="minorEastAsia" w:hAnsiTheme="minorEastAsia" w:eastAsiaTheme="minorEastAsia" w:cstheme="minorEastAsia"/>
          <w:b/>
          <w:color w:val="auto"/>
          <w:sz w:val="28"/>
          <w:szCs w:val="28"/>
          <w:highlight w:val="none"/>
          <w:lang w:eastAsia="zh-CN"/>
        </w:rPr>
        <w:t>响应文件</w:t>
      </w:r>
      <w:r>
        <w:rPr>
          <w:rFonts w:hint="eastAsia" w:asciiTheme="minorEastAsia" w:hAnsiTheme="minorEastAsia" w:eastAsiaTheme="minorEastAsia" w:cstheme="minorEastAsia"/>
          <w:b/>
          <w:color w:val="auto"/>
          <w:sz w:val="28"/>
          <w:szCs w:val="28"/>
          <w:highlight w:val="none"/>
        </w:rPr>
        <w:t>中的每页所加注的页码相对应。</w:t>
      </w:r>
    </w:p>
    <w:p>
      <w:pPr>
        <w:numPr>
          <w:ilvl w:val="0"/>
          <w:numId w:val="22"/>
        </w:numPr>
        <w:tabs>
          <w:tab w:val="left" w:pos="720"/>
          <w:tab w:val="clear" w:pos="695"/>
        </w:tabs>
        <w:spacing w:line="480" w:lineRule="auto"/>
        <w:ind w:left="720" w:hanging="54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eastAsia="zh-CN"/>
        </w:rPr>
        <w:t>响应文件</w:t>
      </w:r>
      <w:r>
        <w:rPr>
          <w:rFonts w:hint="eastAsia" w:asciiTheme="minorEastAsia" w:hAnsiTheme="minorEastAsia" w:eastAsiaTheme="minorEastAsia" w:cstheme="minorEastAsia"/>
          <w:b/>
          <w:color w:val="auto"/>
          <w:sz w:val="28"/>
          <w:szCs w:val="28"/>
          <w:highlight w:val="none"/>
        </w:rPr>
        <w:t>的【正本】及所有【副本】的封面及骑缝均须加盖投标人公章。</w:t>
      </w:r>
    </w:p>
    <w:p>
      <w:pPr>
        <w:spacing w:line="480" w:lineRule="auto"/>
        <w:ind w:left="180"/>
        <w:jc w:val="left"/>
        <w:rPr>
          <w:rFonts w:hint="eastAsia" w:asciiTheme="minorEastAsia" w:hAnsiTheme="minorEastAsia" w:eastAsiaTheme="minorEastAsia" w:cstheme="minorEastAsia"/>
          <w:color w:val="auto"/>
          <w:highlight w:val="none"/>
        </w:rPr>
      </w:pPr>
    </w:p>
    <w:p>
      <w:pPr>
        <w:spacing w:line="312" w:lineRule="auto"/>
        <w:ind w:firstLine="600" w:firstLineChars="250"/>
        <w:jc w:val="left"/>
        <w:rPr>
          <w:rFonts w:hint="eastAsia" w:asciiTheme="minorEastAsia" w:hAnsiTheme="minorEastAsia" w:eastAsiaTheme="minorEastAsia" w:cstheme="minorEastAsia"/>
          <w:color w:val="auto"/>
          <w:sz w:val="24"/>
          <w:highlight w:val="none"/>
        </w:rPr>
      </w:pPr>
    </w:p>
    <w:p>
      <w:pPr>
        <w:spacing w:line="312" w:lineRule="auto"/>
        <w:ind w:firstLine="600" w:firstLineChars="250"/>
        <w:jc w:val="left"/>
        <w:rPr>
          <w:rFonts w:hint="eastAsia" w:asciiTheme="minorEastAsia" w:hAnsiTheme="minorEastAsia" w:eastAsiaTheme="minorEastAsia" w:cstheme="minorEastAsia"/>
          <w:color w:val="auto"/>
          <w:sz w:val="24"/>
          <w:highlight w:val="none"/>
        </w:rPr>
      </w:pPr>
    </w:p>
    <w:p>
      <w:pPr>
        <w:pStyle w:val="34"/>
        <w:spacing w:line="36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8"/>
          <w:szCs w:val="28"/>
          <w:highlight w:val="none"/>
        </w:rPr>
        <w:t>注：投标人须按本部分的格式内容进行排版和编制《</w:t>
      </w:r>
      <w:r>
        <w:rPr>
          <w:rFonts w:hint="eastAsia" w:asciiTheme="minorEastAsia" w:hAnsiTheme="minorEastAsia" w:eastAsiaTheme="minorEastAsia" w:cstheme="minorEastAsia"/>
          <w:b/>
          <w:bCs/>
          <w:color w:val="auto"/>
          <w:sz w:val="28"/>
          <w:szCs w:val="28"/>
          <w:highlight w:val="none"/>
          <w:lang w:eastAsia="zh-CN"/>
        </w:rPr>
        <w:t>响应文件</w:t>
      </w:r>
      <w:r>
        <w:rPr>
          <w:rFonts w:hint="eastAsia" w:asciiTheme="minorEastAsia" w:hAnsiTheme="minorEastAsia" w:eastAsiaTheme="minorEastAsia" w:cstheme="minorEastAsia"/>
          <w:b/>
          <w:bCs/>
          <w:color w:val="auto"/>
          <w:sz w:val="28"/>
          <w:szCs w:val="28"/>
          <w:highlight w:val="none"/>
        </w:rPr>
        <w:t>》，如属于格式外的，或本部分未提供具体格式的，投标人可根据投标方案或内容，针对评审子项要求，自行拟定具体格式和设计排版。</w:t>
      </w:r>
    </w:p>
    <w:p>
      <w:pPr>
        <w:spacing w:line="360" w:lineRule="auto"/>
        <w:rPr>
          <w:rFonts w:hint="eastAsia" w:asciiTheme="minorEastAsia" w:hAnsiTheme="minorEastAsia" w:eastAsiaTheme="minorEastAsia" w:cstheme="minorEastAsia"/>
          <w:color w:val="auto"/>
          <w:highlight w:val="none"/>
          <w:shd w:val="clear" w:color="auto" w:fill="FFFF99"/>
        </w:rPr>
        <w:sectPr>
          <w:pgSz w:w="11906" w:h="16838"/>
          <w:pgMar w:top="1440" w:right="1080" w:bottom="1440" w:left="1080" w:header="567" w:footer="737" w:gutter="0"/>
          <w:pgNumType w:fmt="decimal"/>
          <w:cols w:space="720" w:num="1"/>
          <w:docGrid w:linePitch="312" w:charSpace="0"/>
        </w:sectPr>
      </w:pPr>
    </w:p>
    <w:p>
      <w:pPr>
        <w:pStyle w:val="8"/>
        <w:pageBreakBefore/>
        <w:ind w:left="425"/>
        <w:rPr>
          <w:rFonts w:hint="eastAsia" w:asciiTheme="minorEastAsia" w:hAnsiTheme="minorEastAsia" w:eastAsiaTheme="minorEastAsia" w:cstheme="minorEastAsia"/>
          <w:b w:val="0"/>
          <w:bCs/>
          <w:color w:val="auto"/>
          <w:sz w:val="52"/>
          <w:highlight w:val="none"/>
        </w:rPr>
      </w:pPr>
      <w:bookmarkStart w:id="342" w:name="_Toc16804"/>
      <w:r>
        <w:rPr>
          <w:rFonts w:hint="eastAsia" w:asciiTheme="minorEastAsia" w:hAnsiTheme="minorEastAsia" w:eastAsiaTheme="minorEastAsia" w:cstheme="minorEastAsia"/>
          <w:b w:val="0"/>
          <w:bCs/>
          <w:color w:val="auto"/>
          <w:sz w:val="52"/>
          <w:highlight w:val="none"/>
        </w:rPr>
        <w:fldChar w:fldCharType="begin"/>
      </w:r>
      <w:r>
        <w:rPr>
          <w:rFonts w:hint="eastAsia" w:asciiTheme="minorEastAsia" w:hAnsiTheme="minorEastAsia" w:eastAsiaTheme="minorEastAsia" w:cstheme="minorEastAsia"/>
          <w:b w:val="0"/>
          <w:bCs/>
          <w:color w:val="auto"/>
          <w:sz w:val="52"/>
          <w:highlight w:val="none"/>
        </w:rPr>
        <w:instrText xml:space="preserve">HYPERLINK  \l "_投标文件目录"</w:instrText>
      </w:r>
      <w:r>
        <w:rPr>
          <w:rFonts w:hint="eastAsia" w:asciiTheme="minorEastAsia" w:hAnsiTheme="minorEastAsia" w:eastAsiaTheme="minorEastAsia" w:cstheme="minorEastAsia"/>
          <w:b w:val="0"/>
          <w:bCs/>
          <w:color w:val="auto"/>
          <w:sz w:val="52"/>
          <w:highlight w:val="none"/>
        </w:rPr>
        <w:fldChar w:fldCharType="separate"/>
      </w:r>
      <w:bookmarkStart w:id="343" w:name="_Toc240108116"/>
      <w:bookmarkStart w:id="344" w:name="_Toc159385073"/>
      <w:bookmarkStart w:id="345" w:name="_Toc113157429"/>
      <w:bookmarkStart w:id="346" w:name="_Toc419106564"/>
      <w:bookmarkStart w:id="347" w:name="_Toc200168796"/>
      <w:bookmarkStart w:id="348" w:name="_Toc259803669"/>
      <w:r>
        <w:rPr>
          <w:rFonts w:hint="eastAsia" w:asciiTheme="minorEastAsia" w:hAnsiTheme="minorEastAsia" w:eastAsiaTheme="minorEastAsia" w:cstheme="minorEastAsia"/>
          <w:b w:val="0"/>
          <w:bCs/>
          <w:color w:val="auto"/>
          <w:sz w:val="52"/>
          <w:highlight w:val="none"/>
        </w:rPr>
        <w:t>第一</w:t>
      </w:r>
      <w:bookmarkStart w:id="349" w:name="_Hlt112738827"/>
      <w:r>
        <w:rPr>
          <w:rFonts w:hint="eastAsia" w:asciiTheme="minorEastAsia" w:hAnsiTheme="minorEastAsia" w:eastAsiaTheme="minorEastAsia" w:cstheme="minorEastAsia"/>
          <w:b w:val="0"/>
          <w:bCs/>
          <w:color w:val="auto"/>
          <w:sz w:val="52"/>
          <w:highlight w:val="none"/>
        </w:rPr>
        <w:t xml:space="preserve">章 </w:t>
      </w:r>
      <w:bookmarkEnd w:id="349"/>
      <w:r>
        <w:rPr>
          <w:rFonts w:hint="eastAsia" w:asciiTheme="minorEastAsia" w:hAnsiTheme="minorEastAsia" w:eastAsiaTheme="minorEastAsia" w:cstheme="minorEastAsia"/>
          <w:b w:val="0"/>
          <w:bCs/>
          <w:color w:val="auto"/>
          <w:sz w:val="52"/>
          <w:highlight w:val="none"/>
        </w:rPr>
        <w:t xml:space="preserve"> </w:t>
      </w:r>
      <w:bookmarkStart w:id="350" w:name="_Hlt112738975"/>
      <w:r>
        <w:rPr>
          <w:rFonts w:hint="eastAsia" w:asciiTheme="minorEastAsia" w:hAnsiTheme="minorEastAsia" w:eastAsiaTheme="minorEastAsia" w:cstheme="minorEastAsia"/>
          <w:b w:val="0"/>
          <w:bCs/>
          <w:color w:val="auto"/>
          <w:sz w:val="52"/>
          <w:highlight w:val="none"/>
        </w:rPr>
        <w:t>资格性文</w:t>
      </w:r>
      <w:bookmarkEnd w:id="350"/>
      <w:bookmarkStart w:id="351" w:name="_Hlt112738761"/>
      <w:r>
        <w:rPr>
          <w:rFonts w:hint="eastAsia" w:asciiTheme="minorEastAsia" w:hAnsiTheme="minorEastAsia" w:eastAsiaTheme="minorEastAsia" w:cstheme="minorEastAsia"/>
          <w:b w:val="0"/>
          <w:bCs/>
          <w:color w:val="auto"/>
          <w:sz w:val="52"/>
          <w:highlight w:val="none"/>
        </w:rPr>
        <w:t>件</w:t>
      </w:r>
      <w:bookmarkEnd w:id="343"/>
      <w:bookmarkEnd w:id="344"/>
      <w:bookmarkEnd w:id="345"/>
      <w:bookmarkEnd w:id="346"/>
      <w:bookmarkEnd w:id="347"/>
      <w:bookmarkEnd w:id="348"/>
      <w:bookmarkEnd w:id="351"/>
      <w:r>
        <w:rPr>
          <w:rFonts w:hint="eastAsia" w:asciiTheme="minorEastAsia" w:hAnsiTheme="minorEastAsia" w:eastAsiaTheme="minorEastAsia" w:cstheme="minorEastAsia"/>
          <w:b w:val="0"/>
          <w:bCs/>
          <w:color w:val="auto"/>
          <w:sz w:val="52"/>
          <w:highlight w:val="none"/>
        </w:rPr>
        <w:fldChar w:fldCharType="end"/>
      </w:r>
      <w:bookmarkEnd w:id="337"/>
      <w:bookmarkEnd w:id="338"/>
      <w:bookmarkEnd w:id="342"/>
    </w:p>
    <w:p>
      <w:pPr>
        <w:jc w:val="center"/>
        <w:rPr>
          <w:rFonts w:hint="eastAsia" w:asciiTheme="minorEastAsia" w:hAnsiTheme="minorEastAsia" w:eastAsiaTheme="minorEastAsia" w:cstheme="minorEastAsia"/>
          <w:color w:val="auto"/>
          <w:highlight w:val="none"/>
          <w:shd w:val="clear" w:color="auto" w:fill="FFFF99"/>
        </w:rPr>
        <w:sectPr>
          <w:pgSz w:w="11906" w:h="16838"/>
          <w:pgMar w:top="1134" w:right="1134" w:bottom="1134" w:left="1587" w:header="567" w:footer="737" w:gutter="0"/>
          <w:pgNumType w:fmt="decimal"/>
          <w:cols w:space="720" w:num="1"/>
          <w:docGrid w:linePitch="312" w:charSpace="0"/>
        </w:sectPr>
      </w:pPr>
    </w:p>
    <w:bookmarkEnd w:id="320"/>
    <w:bookmarkEnd w:id="321"/>
    <w:bookmarkEnd w:id="322"/>
    <w:bookmarkEnd w:id="323"/>
    <w:bookmarkEnd w:id="324"/>
    <w:bookmarkEnd w:id="339"/>
    <w:bookmarkEnd w:id="340"/>
    <w:bookmarkEnd w:id="341"/>
    <w:p>
      <w:pPr>
        <w:pStyle w:val="9"/>
        <w:spacing w:after="120" w:afterLines="0"/>
        <w:rPr>
          <w:rFonts w:hint="eastAsia" w:asciiTheme="minorEastAsia" w:hAnsiTheme="minorEastAsia" w:eastAsiaTheme="minorEastAsia" w:cstheme="minorEastAsia"/>
          <w:b w:val="0"/>
          <w:color w:val="auto"/>
          <w:sz w:val="48"/>
          <w:szCs w:val="48"/>
          <w:highlight w:val="none"/>
        </w:rPr>
      </w:pPr>
      <w:bookmarkStart w:id="352" w:name="_资格性文件清单_1"/>
      <w:bookmarkEnd w:id="352"/>
      <w:bookmarkStart w:id="353" w:name="_Toc310519888"/>
      <w:bookmarkStart w:id="354" w:name="_Toc18142"/>
      <w:bookmarkStart w:id="355" w:name="_Toc14873255"/>
      <w:bookmarkStart w:id="356" w:name="_Toc27708"/>
      <w:bookmarkStart w:id="357" w:name="_Toc12540"/>
      <w:bookmarkStart w:id="358" w:name="_Toc325031944"/>
      <w:bookmarkStart w:id="359" w:name="_Toc22048"/>
      <w:bookmarkStart w:id="360" w:name="_Toc28192"/>
      <w:bookmarkStart w:id="361" w:name="_Toc419106565"/>
      <w:bookmarkStart w:id="362" w:name="_Toc4542"/>
      <w:bookmarkStart w:id="363" w:name="_Toc24938"/>
      <w:bookmarkStart w:id="364" w:name="_Toc1449"/>
      <w:bookmarkStart w:id="365" w:name="_Toc240108117"/>
      <w:bookmarkStart w:id="366" w:name="_Toc259803670"/>
      <w:bookmarkStart w:id="367" w:name="_Toc24232"/>
      <w:bookmarkStart w:id="368" w:name="_Toc22745"/>
      <w:bookmarkStart w:id="369" w:name="_Toc419106572"/>
      <w:r>
        <w:rPr>
          <w:rFonts w:hint="eastAsia" w:asciiTheme="minorEastAsia" w:hAnsiTheme="minorEastAsia" w:eastAsiaTheme="minorEastAsia" w:cstheme="minorEastAsia"/>
          <w:b w:val="0"/>
          <w:color w:val="auto"/>
          <w:sz w:val="48"/>
          <w:szCs w:val="48"/>
          <w:highlight w:val="none"/>
        </w:rPr>
        <w:t>资格性文件清单</w:t>
      </w:r>
      <w:bookmarkEnd w:id="353"/>
      <w:bookmarkEnd w:id="354"/>
      <w:bookmarkEnd w:id="355"/>
      <w:bookmarkEnd w:id="356"/>
      <w:bookmarkEnd w:id="357"/>
      <w:bookmarkEnd w:id="358"/>
      <w:bookmarkEnd w:id="359"/>
      <w:bookmarkEnd w:id="360"/>
      <w:bookmarkEnd w:id="361"/>
      <w:bookmarkEnd w:id="362"/>
      <w:bookmarkEnd w:id="363"/>
      <w:bookmarkEnd w:id="364"/>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788"/>
        <w:gridCol w:w="4976"/>
        <w:gridCol w:w="857"/>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8" w:hRule="atLeast"/>
          <w:jc w:val="center"/>
        </w:trPr>
        <w:tc>
          <w:tcPr>
            <w:tcW w:w="452" w:type="dxa"/>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序号</w:t>
            </w:r>
          </w:p>
        </w:tc>
        <w:tc>
          <w:tcPr>
            <w:tcW w:w="1788" w:type="dxa"/>
            <w:tcBorders>
              <w:right w:val="single" w:color="auto" w:sz="4" w:space="0"/>
            </w:tcBorders>
            <w:shd w:val="clear" w:color="auto" w:fill="F3F3F3"/>
            <w:noWrap w:val="0"/>
            <w:vAlign w:val="center"/>
          </w:tcPr>
          <w:p>
            <w:pPr>
              <w:pStyle w:val="35"/>
              <w:keepNext w:val="0"/>
              <w:adjustRightInd/>
              <w:spacing w:before="0" w:after="0" w:line="240" w:lineRule="auto"/>
              <w:textAlignment w:val="auto"/>
              <w:rPr>
                <w:rFonts w:hint="eastAsia" w:asciiTheme="minorEastAsia" w:hAnsiTheme="minorEastAsia" w:eastAsiaTheme="minorEastAsia" w:cstheme="minorEastAsia"/>
                <w:b/>
                <w:bCs/>
                <w:snapToGrid/>
                <w:color w:val="auto"/>
                <w:spacing w:val="0"/>
                <w:kern w:val="2"/>
                <w:sz w:val="21"/>
                <w:szCs w:val="21"/>
                <w:highlight w:val="none"/>
              </w:rPr>
            </w:pPr>
            <w:r>
              <w:rPr>
                <w:rFonts w:hint="eastAsia" w:asciiTheme="minorEastAsia" w:hAnsiTheme="minorEastAsia" w:eastAsiaTheme="minorEastAsia" w:cstheme="minorEastAsia"/>
                <w:b/>
                <w:bCs/>
                <w:snapToGrid/>
                <w:color w:val="auto"/>
                <w:spacing w:val="0"/>
                <w:kern w:val="2"/>
                <w:sz w:val="21"/>
                <w:szCs w:val="21"/>
                <w:highlight w:val="none"/>
              </w:rPr>
              <w:t>文件名称</w:t>
            </w:r>
          </w:p>
        </w:tc>
        <w:tc>
          <w:tcPr>
            <w:tcW w:w="4976" w:type="dxa"/>
            <w:tcBorders>
              <w:left w:val="single" w:color="auto" w:sz="4" w:space="0"/>
            </w:tcBorders>
            <w:shd w:val="clear" w:color="auto" w:fill="F3F3F3"/>
            <w:noWrap w:val="0"/>
            <w:vAlign w:val="center"/>
          </w:tcPr>
          <w:p>
            <w:pPr>
              <w:pStyle w:val="35"/>
              <w:keepNext w:val="0"/>
              <w:adjustRightInd/>
              <w:spacing w:before="0" w:after="0" w:line="240" w:lineRule="auto"/>
              <w:textAlignment w:val="auto"/>
              <w:rPr>
                <w:rFonts w:hint="eastAsia" w:asciiTheme="minorEastAsia" w:hAnsiTheme="minorEastAsia" w:eastAsiaTheme="minorEastAsia" w:cstheme="minorEastAsia"/>
                <w:b/>
                <w:bCs/>
                <w:snapToGrid/>
                <w:color w:val="auto"/>
                <w:spacing w:val="0"/>
                <w:kern w:val="2"/>
                <w:sz w:val="21"/>
                <w:szCs w:val="21"/>
                <w:highlight w:val="none"/>
              </w:rPr>
            </w:pPr>
            <w:r>
              <w:rPr>
                <w:rFonts w:hint="eastAsia" w:asciiTheme="minorEastAsia" w:hAnsiTheme="minorEastAsia" w:eastAsiaTheme="minorEastAsia" w:cstheme="minorEastAsia"/>
                <w:b/>
                <w:bCs/>
                <w:snapToGrid/>
                <w:color w:val="auto"/>
                <w:spacing w:val="0"/>
                <w:kern w:val="2"/>
                <w:sz w:val="21"/>
                <w:szCs w:val="21"/>
                <w:highlight w:val="none"/>
              </w:rPr>
              <w:t>文件内容要求</w:t>
            </w:r>
          </w:p>
        </w:tc>
        <w:tc>
          <w:tcPr>
            <w:tcW w:w="857" w:type="dxa"/>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数量</w:t>
            </w:r>
          </w:p>
        </w:tc>
        <w:tc>
          <w:tcPr>
            <w:tcW w:w="1387" w:type="dxa"/>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exact"/>
          <w:jc w:val="center"/>
        </w:trPr>
        <w:tc>
          <w:tcPr>
            <w:tcW w:w="452" w:type="dxa"/>
            <w:noWrap w:val="0"/>
            <w:vAlign w:val="center"/>
          </w:tcPr>
          <w:p>
            <w:pPr>
              <w:numPr>
                <w:ilvl w:val="0"/>
                <w:numId w:val="23"/>
              </w:numPr>
              <w:tabs>
                <w:tab w:val="left" w:pos="180"/>
              </w:tabs>
              <w:jc w:val="center"/>
              <w:rPr>
                <w:rFonts w:hint="eastAsia" w:asciiTheme="minorEastAsia" w:hAnsiTheme="minorEastAsia" w:eastAsiaTheme="minorEastAsia" w:cstheme="minorEastAsia"/>
                <w:color w:val="auto"/>
                <w:highlight w:val="none"/>
              </w:rPr>
            </w:pPr>
          </w:p>
        </w:tc>
        <w:tc>
          <w:tcPr>
            <w:tcW w:w="1788"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响应承诺函</w:t>
            </w:r>
          </w:p>
        </w:tc>
        <w:tc>
          <w:tcPr>
            <w:tcW w:w="497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按对应格式文件签署、盖章</w:t>
            </w:r>
          </w:p>
        </w:tc>
        <w:tc>
          <w:tcPr>
            <w:tcW w:w="857" w:type="dxa"/>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1份</w:t>
            </w:r>
          </w:p>
        </w:tc>
        <w:tc>
          <w:tcPr>
            <w:tcW w:w="1387" w:type="dxa"/>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7" w:hRule="exact"/>
          <w:jc w:val="center"/>
        </w:trPr>
        <w:tc>
          <w:tcPr>
            <w:tcW w:w="452" w:type="dxa"/>
            <w:noWrap w:val="0"/>
            <w:vAlign w:val="center"/>
          </w:tcPr>
          <w:p>
            <w:pPr>
              <w:numPr>
                <w:ilvl w:val="0"/>
                <w:numId w:val="23"/>
              </w:numPr>
              <w:tabs>
                <w:tab w:val="left" w:pos="180"/>
              </w:tabs>
              <w:jc w:val="center"/>
              <w:rPr>
                <w:rFonts w:hint="eastAsia" w:asciiTheme="minorEastAsia" w:hAnsiTheme="minorEastAsia" w:eastAsiaTheme="minorEastAsia" w:cstheme="minorEastAsia"/>
                <w:color w:val="auto"/>
                <w:highlight w:val="none"/>
              </w:rPr>
            </w:pPr>
          </w:p>
        </w:tc>
        <w:tc>
          <w:tcPr>
            <w:tcW w:w="1788"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法定代表人</w:t>
            </w:r>
            <w:r>
              <w:rPr>
                <w:rFonts w:hint="eastAsia" w:asciiTheme="minorEastAsia" w:hAnsiTheme="minorEastAsia" w:eastAsiaTheme="minorEastAsia" w:cstheme="minorEastAsia"/>
                <w:color w:val="auto"/>
                <w:highlight w:val="none"/>
                <w:lang w:val="en-US" w:eastAsia="zh-CN"/>
              </w:rPr>
              <w:t>/负责人证明书</w:t>
            </w:r>
          </w:p>
        </w:tc>
        <w:tc>
          <w:tcPr>
            <w:tcW w:w="497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按对应格式文件签署、盖章</w:t>
            </w:r>
          </w:p>
        </w:tc>
        <w:tc>
          <w:tcPr>
            <w:tcW w:w="857" w:type="dxa"/>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1份</w:t>
            </w:r>
          </w:p>
        </w:tc>
        <w:tc>
          <w:tcPr>
            <w:tcW w:w="1387" w:type="dxa"/>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7" w:hRule="exact"/>
          <w:jc w:val="center"/>
        </w:trPr>
        <w:tc>
          <w:tcPr>
            <w:tcW w:w="452" w:type="dxa"/>
            <w:noWrap w:val="0"/>
            <w:vAlign w:val="center"/>
          </w:tcPr>
          <w:p>
            <w:pPr>
              <w:numPr>
                <w:ilvl w:val="0"/>
                <w:numId w:val="23"/>
              </w:numPr>
              <w:tabs>
                <w:tab w:val="left" w:pos="180"/>
              </w:tabs>
              <w:jc w:val="center"/>
              <w:rPr>
                <w:rFonts w:hint="eastAsia" w:asciiTheme="minorEastAsia" w:hAnsiTheme="minorEastAsia" w:eastAsiaTheme="minorEastAsia" w:cstheme="minorEastAsia"/>
                <w:color w:val="auto"/>
                <w:highlight w:val="none"/>
              </w:rPr>
            </w:pPr>
          </w:p>
        </w:tc>
        <w:tc>
          <w:tcPr>
            <w:tcW w:w="1788"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highlight w:val="none"/>
              </w:rPr>
              <w:t>法</w:t>
            </w:r>
            <w:r>
              <w:rPr>
                <w:rFonts w:hint="eastAsia" w:asciiTheme="minorEastAsia" w:hAnsiTheme="minorEastAsia" w:eastAsiaTheme="minorEastAsia" w:cstheme="minorEastAsia"/>
                <w:color w:val="auto"/>
                <w:highlight w:val="none"/>
                <w:lang w:eastAsia="zh-CN"/>
              </w:rPr>
              <w:t>定代表人</w:t>
            </w:r>
            <w:r>
              <w:rPr>
                <w:rFonts w:hint="eastAsia" w:asciiTheme="minorEastAsia" w:hAnsiTheme="minorEastAsia" w:eastAsiaTheme="minorEastAsia" w:cstheme="minorEastAsia"/>
                <w:color w:val="auto"/>
                <w:highlight w:val="none"/>
              </w:rPr>
              <w:t>（负责人）授权书</w:t>
            </w:r>
          </w:p>
        </w:tc>
        <w:tc>
          <w:tcPr>
            <w:tcW w:w="497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highlight w:val="none"/>
              </w:rPr>
              <w:t>按对应格式文件签署、盖章</w:t>
            </w:r>
          </w:p>
        </w:tc>
        <w:tc>
          <w:tcPr>
            <w:tcW w:w="857" w:type="dxa"/>
            <w:noWrap w:val="0"/>
            <w:vAlign w:val="center"/>
          </w:tcPr>
          <w:p>
            <w:pPr>
              <w:jc w:val="center"/>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highlight w:val="none"/>
              </w:rPr>
              <w:t>1份</w:t>
            </w:r>
          </w:p>
        </w:tc>
        <w:tc>
          <w:tcPr>
            <w:tcW w:w="1387" w:type="dxa"/>
            <w:noWrap w:val="0"/>
            <w:vAlign w:val="center"/>
          </w:tcPr>
          <w:p>
            <w:pPr>
              <w:jc w:val="center"/>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65" w:hRule="exact"/>
          <w:jc w:val="center"/>
        </w:trPr>
        <w:tc>
          <w:tcPr>
            <w:tcW w:w="452" w:type="dxa"/>
            <w:noWrap w:val="0"/>
            <w:vAlign w:val="center"/>
          </w:tcPr>
          <w:p>
            <w:pPr>
              <w:numPr>
                <w:ilvl w:val="0"/>
                <w:numId w:val="23"/>
              </w:numPr>
              <w:tabs>
                <w:tab w:val="left" w:pos="180"/>
              </w:tabs>
              <w:jc w:val="center"/>
              <w:rPr>
                <w:rFonts w:hint="eastAsia" w:asciiTheme="minorEastAsia" w:hAnsiTheme="minorEastAsia" w:eastAsiaTheme="minorEastAsia" w:cstheme="minorEastAsia"/>
                <w:color w:val="auto"/>
                <w:highlight w:val="none"/>
              </w:rPr>
            </w:pPr>
          </w:p>
        </w:tc>
        <w:tc>
          <w:tcPr>
            <w:tcW w:w="1788"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highlight w:val="none"/>
                <w:lang w:val="en-US"/>
              </w:rPr>
              <w:t>守法经营声明书</w:t>
            </w:r>
          </w:p>
        </w:tc>
        <w:tc>
          <w:tcPr>
            <w:tcW w:w="4976" w:type="dxa"/>
            <w:tcBorders>
              <w:left w:val="single" w:color="auto" w:sz="4" w:space="0"/>
            </w:tcBorders>
            <w:noWrap w:val="0"/>
            <w:vAlign w:val="center"/>
          </w:tcPr>
          <w:p>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按对应格式文件签署、盖章</w:t>
            </w:r>
            <w:r>
              <w:rPr>
                <w:rFonts w:hint="eastAsia" w:asciiTheme="minorEastAsia" w:hAnsiTheme="minorEastAsia" w:eastAsiaTheme="minorEastAsia" w:cstheme="minorEastAsia"/>
                <w:color w:val="auto"/>
                <w:sz w:val="21"/>
                <w:szCs w:val="21"/>
                <w:highlight w:val="none"/>
                <w:lang w:eastAsia="zh-CN"/>
              </w:rPr>
              <w:t>并</w:t>
            </w: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color w:val="auto"/>
                <w:sz w:val="21"/>
                <w:szCs w:val="21"/>
                <w:highlight w:val="none"/>
                <w:lang w:eastAsia="zh-CN"/>
              </w:rPr>
              <w:t>以下</w:t>
            </w:r>
            <w:r>
              <w:rPr>
                <w:rFonts w:hint="eastAsia" w:asciiTheme="minorEastAsia" w:hAnsiTheme="minorEastAsia" w:eastAsiaTheme="minorEastAsia" w:cstheme="minorEastAsia"/>
                <w:color w:val="auto"/>
                <w:sz w:val="21"/>
                <w:szCs w:val="21"/>
                <w:highlight w:val="none"/>
              </w:rPr>
              <w:t>证明材料</w:t>
            </w:r>
            <w:r>
              <w:rPr>
                <w:rFonts w:hint="eastAsia" w:asciiTheme="minorEastAsia" w:hAnsiTheme="minorEastAsia" w:eastAsiaTheme="minorEastAsia" w:cstheme="minorEastAsia"/>
                <w:color w:val="auto"/>
                <w:sz w:val="21"/>
                <w:szCs w:val="21"/>
                <w:highlight w:val="none"/>
                <w:lang w:eastAsia="zh-CN"/>
              </w:rPr>
              <w:t>：</w:t>
            </w:r>
          </w:p>
          <w:p>
            <w:pPr>
              <w:pStyle w:val="16"/>
              <w:numPr>
                <w:ilvl w:val="0"/>
                <w:numId w:val="24"/>
              </w:num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在中华人民共和国境内注册的单位提供</w:t>
            </w:r>
            <w:r>
              <w:rPr>
                <w:rFonts w:hint="eastAsia" w:asciiTheme="minorEastAsia" w:hAnsiTheme="minorEastAsia" w:eastAsiaTheme="minorEastAsia" w:cstheme="minorEastAsia"/>
                <w:color w:val="auto"/>
                <w:sz w:val="21"/>
                <w:szCs w:val="21"/>
                <w:highlight w:val="none"/>
                <w:lang w:eastAsia="zh-CN"/>
              </w:rPr>
              <w:t>有效的</w:t>
            </w:r>
            <w:r>
              <w:rPr>
                <w:rFonts w:hint="eastAsia" w:asciiTheme="minorEastAsia" w:hAnsiTheme="minorEastAsia" w:eastAsiaTheme="minorEastAsia" w:cstheme="minorEastAsia"/>
                <w:color w:val="auto"/>
                <w:sz w:val="21"/>
                <w:szCs w:val="21"/>
                <w:highlight w:val="none"/>
              </w:rPr>
              <w:t>营业执照或事业</w:t>
            </w:r>
            <w:r>
              <w:rPr>
                <w:rFonts w:hint="eastAsia" w:asciiTheme="minorEastAsia" w:hAnsiTheme="minorEastAsia" w:eastAsiaTheme="minorEastAsia" w:cstheme="minorEastAsia"/>
                <w:color w:val="auto"/>
                <w:sz w:val="21"/>
                <w:szCs w:val="21"/>
                <w:highlight w:val="none"/>
                <w:lang w:eastAsia="zh-CN"/>
              </w:rPr>
              <w:t>单位</w:t>
            </w:r>
            <w:r>
              <w:rPr>
                <w:rFonts w:hint="eastAsia" w:asciiTheme="minorEastAsia" w:hAnsiTheme="minorEastAsia" w:eastAsiaTheme="minorEastAsia" w:cstheme="minorEastAsia"/>
                <w:color w:val="auto"/>
                <w:sz w:val="21"/>
                <w:szCs w:val="21"/>
                <w:highlight w:val="none"/>
              </w:rPr>
              <w:t>法人登记证或社会团体法人登记证书</w:t>
            </w:r>
            <w:r>
              <w:rPr>
                <w:rFonts w:hint="eastAsia" w:asciiTheme="minorEastAsia" w:hAnsiTheme="minorEastAsia" w:eastAsiaTheme="minorEastAsia" w:cstheme="minorEastAsia"/>
                <w:color w:val="auto"/>
                <w:sz w:val="21"/>
                <w:szCs w:val="21"/>
                <w:highlight w:val="none"/>
                <w:lang w:eastAsia="zh-CN"/>
              </w:rPr>
              <w:t>；</w:t>
            </w:r>
          </w:p>
          <w:p>
            <w:pPr>
              <w:pStyle w:val="16"/>
              <w:numPr>
                <w:ilvl w:val="0"/>
                <w:numId w:val="24"/>
              </w:num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提供2020年度财务审计报告或2021年度任意1个月的财务状况报告复印件或基本开户银行出具的资信证明；</w:t>
            </w:r>
          </w:p>
          <w:p>
            <w:pPr>
              <w:jc w:val="left"/>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color w:val="auto"/>
                <w:sz w:val="21"/>
                <w:szCs w:val="21"/>
                <w:highlight w:val="none"/>
                <w:lang w:eastAsia="zh-CN"/>
              </w:rPr>
              <w:t>2021</w:t>
            </w:r>
            <w:r>
              <w:rPr>
                <w:rFonts w:hint="eastAsia" w:asciiTheme="minorEastAsia" w:hAnsiTheme="minorEastAsia" w:eastAsiaTheme="minorEastAsia" w:cstheme="minorEastAsia"/>
                <w:color w:val="auto"/>
                <w:sz w:val="21"/>
                <w:szCs w:val="21"/>
                <w:highlight w:val="none"/>
              </w:rPr>
              <w:t>年任意1个月依法缴纳税收和社会保障资金的相关材料。如依法免税或不需要缴纳社会保障资金的，提供相应证明材料</w:t>
            </w:r>
            <w:r>
              <w:rPr>
                <w:rFonts w:hint="eastAsia" w:asciiTheme="minorEastAsia" w:hAnsiTheme="minorEastAsia" w:eastAsiaTheme="minorEastAsia" w:cstheme="minorEastAsia"/>
                <w:color w:val="auto"/>
                <w:sz w:val="21"/>
                <w:szCs w:val="21"/>
                <w:highlight w:val="none"/>
                <w:lang w:eastAsia="zh-CN"/>
              </w:rPr>
              <w:t>。</w:t>
            </w:r>
          </w:p>
        </w:tc>
        <w:tc>
          <w:tcPr>
            <w:tcW w:w="857" w:type="dxa"/>
            <w:noWrap w:val="0"/>
            <w:vAlign w:val="center"/>
          </w:tcPr>
          <w:p>
            <w:pPr>
              <w:jc w:val="center"/>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highlight w:val="none"/>
              </w:rPr>
              <w:t>1份</w:t>
            </w:r>
          </w:p>
        </w:tc>
        <w:tc>
          <w:tcPr>
            <w:tcW w:w="1387" w:type="dxa"/>
            <w:noWrap w:val="0"/>
            <w:vAlign w:val="center"/>
          </w:tcPr>
          <w:p>
            <w:pPr>
              <w:jc w:val="center"/>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szCs w:val="21"/>
                <w:highlight w:val="none"/>
              </w:rPr>
              <w:t>复印件</w:t>
            </w:r>
            <w:r>
              <w:rPr>
                <w:rFonts w:hint="eastAsia" w:asciiTheme="minorEastAsia" w:hAnsiTheme="minorEastAsia" w:eastAsiaTheme="minorEastAsia" w:cstheme="minorEastAsia"/>
                <w:color w:val="auto"/>
                <w:szCs w:val="21"/>
                <w:highlight w:val="none"/>
                <w:lang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2" w:hRule="exact"/>
          <w:jc w:val="center"/>
        </w:trPr>
        <w:tc>
          <w:tcPr>
            <w:tcW w:w="452" w:type="dxa"/>
            <w:noWrap w:val="0"/>
            <w:vAlign w:val="center"/>
          </w:tcPr>
          <w:p>
            <w:pPr>
              <w:numPr>
                <w:ilvl w:val="0"/>
                <w:numId w:val="23"/>
              </w:numPr>
              <w:tabs>
                <w:tab w:val="left" w:pos="180"/>
              </w:tabs>
              <w:jc w:val="center"/>
              <w:rPr>
                <w:rFonts w:hint="eastAsia" w:asciiTheme="minorEastAsia" w:hAnsiTheme="minorEastAsia" w:eastAsiaTheme="minorEastAsia" w:cstheme="minorEastAsia"/>
                <w:color w:val="auto"/>
                <w:highlight w:val="none"/>
              </w:rPr>
            </w:pPr>
          </w:p>
        </w:tc>
        <w:tc>
          <w:tcPr>
            <w:tcW w:w="1788"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w:t>
            </w:r>
            <w:r>
              <w:rPr>
                <w:rFonts w:hint="eastAsia" w:asciiTheme="minorEastAsia" w:hAnsiTheme="minorEastAsia" w:eastAsiaTheme="minorEastAsia" w:cstheme="minorEastAsia"/>
                <w:color w:val="auto"/>
                <w:highlight w:val="none"/>
                <w:lang w:eastAsia="zh-CN"/>
              </w:rPr>
              <w:t>证明</w:t>
            </w:r>
            <w:r>
              <w:rPr>
                <w:rFonts w:hint="eastAsia" w:asciiTheme="minorEastAsia" w:hAnsiTheme="minorEastAsia" w:eastAsiaTheme="minorEastAsia" w:cstheme="minorEastAsia"/>
                <w:color w:val="auto"/>
                <w:highlight w:val="none"/>
              </w:rPr>
              <w:t>资料</w:t>
            </w:r>
          </w:p>
        </w:tc>
        <w:tc>
          <w:tcPr>
            <w:tcW w:w="4976" w:type="dxa"/>
            <w:tcBorders>
              <w:left w:val="single" w:color="auto" w:sz="4" w:space="0"/>
            </w:tcBorders>
            <w:noWrap w:val="0"/>
            <w:vAlign w:val="center"/>
          </w:tcPr>
          <w:p>
            <w:pPr>
              <w:jc w:val="left"/>
              <w:rPr>
                <w:rFonts w:hint="eastAsia" w:asciiTheme="minorEastAsia" w:hAnsiTheme="minorEastAsia" w:eastAsiaTheme="minorEastAsia" w:cstheme="minorEastAsia"/>
                <w:color w:val="auto"/>
                <w:szCs w:val="21"/>
                <w:highlight w:val="none"/>
                <w:lang w:val="zh-CN" w:eastAsia="zh-CN"/>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val="zh-CN" w:eastAsia="zh-CN"/>
              </w:rPr>
              <w:t>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提供“信用中国”网站（www.creditchina.gov.cn）以及中国政府采购网(www.ccgp.gov.cn)查询结果网页打印件，如相关失信记录已失效，供应商需提供相关证明资料；（以采购代理机构于投标截止日当天在“信用中国”网站及中国政府采购网查询结果为准）</w:t>
            </w:r>
          </w:p>
          <w:p>
            <w:pPr>
              <w:pStyle w:val="3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bCs w:val="0"/>
                <w:color w:val="auto"/>
                <w:spacing w:val="0"/>
                <w:kern w:val="2"/>
                <w:sz w:val="21"/>
                <w:szCs w:val="21"/>
                <w:highlight w:val="none"/>
                <w:lang w:val="en-US" w:eastAsia="zh-CN" w:bidi="ar-SA"/>
              </w:rPr>
              <w:t>符合应急管理部消防部门印发的消防技术服务机构从业条件﹝以《应急管理部关于印发&lt;消防技术服务机构从业条件&gt;的通知》应急【2019】88 号) 的要求为准，需提供承诺书及社会消防技术服务信息系统备案截图（https://www.shhxf119.com）﹞</w:t>
            </w:r>
          </w:p>
          <w:p>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val="zh-CN" w:eastAsia="zh-CN"/>
              </w:rPr>
              <w:t>其他投标人认为有必要提供的材料。</w:t>
            </w:r>
          </w:p>
        </w:tc>
        <w:tc>
          <w:tcPr>
            <w:tcW w:w="857" w:type="dxa"/>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1份</w:t>
            </w:r>
          </w:p>
        </w:tc>
        <w:tc>
          <w:tcPr>
            <w:tcW w:w="1387" w:type="dxa"/>
            <w:noWrap w:val="0"/>
            <w:vAlign w:val="center"/>
          </w:tcPr>
          <w:p>
            <w:pPr>
              <w:jc w:val="center"/>
              <w:rPr>
                <w:rFonts w:hint="eastAsia" w:asciiTheme="minorEastAsia" w:hAnsiTheme="minorEastAsia" w:eastAsiaTheme="minorEastAsia" w:cstheme="minorEastAsia"/>
                <w:snapToGrid/>
                <w:color w:val="auto"/>
                <w:spacing w:val="0"/>
                <w:kern w:val="2"/>
                <w:sz w:val="21"/>
                <w:szCs w:val="21"/>
                <w:highlight w:val="none"/>
                <w:lang w:eastAsia="zh-CN"/>
              </w:rPr>
            </w:pPr>
            <w:r>
              <w:rPr>
                <w:rFonts w:hint="eastAsia" w:asciiTheme="minorEastAsia" w:hAnsiTheme="minorEastAsia" w:eastAsiaTheme="minorEastAsia" w:cstheme="minorEastAsia"/>
                <w:color w:val="auto"/>
                <w:szCs w:val="21"/>
                <w:highlight w:val="none"/>
              </w:rPr>
              <w:t>复印件</w:t>
            </w:r>
            <w:r>
              <w:rPr>
                <w:rFonts w:hint="eastAsia" w:asciiTheme="minorEastAsia" w:hAnsiTheme="minorEastAsia" w:eastAsiaTheme="minorEastAsia" w:cstheme="minorEastAsia"/>
                <w:color w:val="auto"/>
                <w:szCs w:val="21"/>
                <w:highlight w:val="none"/>
                <w:lang w:eastAsia="zh-CN"/>
              </w:rPr>
              <w:t>（加盖公章）</w:t>
            </w:r>
          </w:p>
        </w:tc>
      </w:tr>
    </w:tbl>
    <w:p>
      <w:pPr>
        <w:pStyle w:val="36"/>
        <w:spacing w:line="360" w:lineRule="auto"/>
        <w:rPr>
          <w:rFonts w:hint="eastAsia" w:asciiTheme="minorEastAsia" w:hAnsiTheme="minorEastAsia" w:eastAsiaTheme="minorEastAsia" w:cstheme="minorEastAsia"/>
          <w:b/>
          <w:bCs/>
          <w:color w:val="auto"/>
          <w:highlight w:val="none"/>
        </w:rPr>
      </w:pPr>
    </w:p>
    <w:p>
      <w:pPr>
        <w:pStyle w:val="36"/>
        <w:spacing w:line="360" w:lineRule="auto"/>
        <w:ind w:left="420" w:hanging="420"/>
        <w:jc w:val="center"/>
        <w:rPr>
          <w:rFonts w:hint="eastAsia" w:asciiTheme="minorEastAsia" w:hAnsiTheme="minorEastAsia" w:eastAsiaTheme="minorEastAsia" w:cstheme="minorEastAsia"/>
          <w:b/>
          <w:bCs/>
          <w:color w:val="auto"/>
          <w:sz w:val="30"/>
          <w:highlight w:val="none"/>
        </w:rPr>
      </w:pPr>
      <w:r>
        <w:rPr>
          <w:rFonts w:hint="eastAsia" w:asciiTheme="minorEastAsia" w:hAnsiTheme="minorEastAsia" w:eastAsiaTheme="minorEastAsia" w:cstheme="minorEastAsia"/>
          <w:b/>
          <w:bCs/>
          <w:color w:val="auto"/>
          <w:sz w:val="30"/>
          <w:highlight w:val="none"/>
        </w:rPr>
        <w:t>特别提示与要求！</w:t>
      </w:r>
    </w:p>
    <w:p>
      <w:pPr>
        <w:pStyle w:val="36"/>
        <w:spacing w:line="360" w:lineRule="exact"/>
        <w:ind w:firstLine="40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以上材料将作为供应商资格性审查的重要内容之一，供应商必须严格按照其内容及序列要求在响应文件中对应如实提供，对缺漏和不符合项将会直接导致无效响应！</w:t>
      </w:r>
    </w:p>
    <w:p>
      <w:pPr>
        <w:pStyle w:val="9"/>
        <w:pageBreakBefore/>
        <w:numPr>
          <w:ilvl w:val="0"/>
          <w:numId w:val="23"/>
        </w:numPr>
        <w:spacing w:after="120" w:afterLines="0"/>
        <w:rPr>
          <w:rFonts w:hint="eastAsia" w:asciiTheme="minorEastAsia" w:hAnsiTheme="minorEastAsia" w:eastAsiaTheme="minorEastAsia" w:cstheme="minorEastAsia"/>
          <w:color w:val="auto"/>
          <w:szCs w:val="21"/>
          <w:highlight w:val="none"/>
        </w:rPr>
        <w:sectPr>
          <w:pgSz w:w="11906" w:h="16838"/>
          <w:pgMar w:top="1440" w:right="1080" w:bottom="1440" w:left="1080" w:header="567" w:footer="737" w:gutter="0"/>
          <w:pgNumType w:fmt="decimal"/>
          <w:cols w:space="720" w:num="1"/>
          <w:docGrid w:linePitch="312" w:charSpace="0"/>
        </w:sectPr>
      </w:pPr>
      <w:bookmarkStart w:id="370" w:name="_法定代表人授权书_1"/>
      <w:bookmarkEnd w:id="370"/>
      <w:bookmarkStart w:id="371" w:name="_Toc119321151"/>
      <w:bookmarkStart w:id="372" w:name="_Toc159385075"/>
      <w:bookmarkStart w:id="373" w:name="_Toc136682916"/>
      <w:bookmarkStart w:id="374" w:name="_Toc136662940"/>
    </w:p>
    <w:p>
      <w:pPr>
        <w:pStyle w:val="9"/>
        <w:pageBreakBefore/>
        <w:numPr>
          <w:ilvl w:val="0"/>
          <w:numId w:val="25"/>
        </w:numPr>
        <w:spacing w:after="120" w:afterLines="0"/>
        <w:rPr>
          <w:rFonts w:hint="eastAsia" w:asciiTheme="minorEastAsia" w:hAnsiTheme="minorEastAsia" w:eastAsiaTheme="minorEastAsia" w:cstheme="minorEastAsia"/>
          <w:color w:val="auto"/>
          <w:sz w:val="36"/>
          <w:szCs w:val="36"/>
          <w:highlight w:val="none"/>
        </w:rPr>
      </w:pPr>
      <w:bookmarkStart w:id="375" w:name="_投标承诺函_1"/>
      <w:bookmarkEnd w:id="375"/>
      <w:bookmarkStart w:id="376" w:name="_Toc6666"/>
      <w:bookmarkStart w:id="377" w:name="_Toc14146"/>
      <w:bookmarkStart w:id="378" w:name="_Toc14237"/>
      <w:bookmarkStart w:id="379" w:name="_Toc13454"/>
      <w:bookmarkStart w:id="380" w:name="_Toc14873256"/>
      <w:bookmarkStart w:id="381" w:name="_Toc7738"/>
      <w:bookmarkStart w:id="382" w:name="_Toc9168"/>
      <w:bookmarkStart w:id="383" w:name="_Toc3733"/>
      <w:bookmarkStart w:id="384" w:name="_Toc419106566"/>
      <w:r>
        <w:rPr>
          <w:rFonts w:hint="eastAsia" w:asciiTheme="minorEastAsia" w:hAnsiTheme="minorEastAsia" w:eastAsiaTheme="minorEastAsia" w:cstheme="minorEastAsia"/>
          <w:color w:val="auto"/>
          <w:sz w:val="36"/>
          <w:szCs w:val="36"/>
          <w:highlight w:val="none"/>
          <w:lang w:val="en-US" w:eastAsia="zh-CN"/>
        </w:rPr>
        <w:t xml:space="preserve"> </w:t>
      </w:r>
      <w:bookmarkStart w:id="385" w:name="_Toc28958"/>
      <w:r>
        <w:rPr>
          <w:rFonts w:hint="eastAsia" w:asciiTheme="minorEastAsia" w:hAnsiTheme="minorEastAsia" w:eastAsiaTheme="minorEastAsia" w:cstheme="minorEastAsia"/>
          <w:color w:val="auto"/>
          <w:sz w:val="36"/>
          <w:szCs w:val="36"/>
          <w:highlight w:val="none"/>
        </w:rPr>
        <w:t>响应承诺函</w:t>
      </w:r>
      <w:bookmarkEnd w:id="371"/>
      <w:bookmarkEnd w:id="372"/>
      <w:bookmarkEnd w:id="373"/>
      <w:bookmarkEnd w:id="374"/>
      <w:bookmarkEnd w:id="376"/>
      <w:bookmarkEnd w:id="377"/>
      <w:bookmarkEnd w:id="378"/>
      <w:bookmarkEnd w:id="379"/>
      <w:bookmarkEnd w:id="380"/>
      <w:bookmarkEnd w:id="381"/>
      <w:bookmarkEnd w:id="382"/>
      <w:bookmarkEnd w:id="383"/>
      <w:bookmarkEnd w:id="384"/>
      <w:bookmarkEnd w:id="385"/>
    </w:p>
    <w:p>
      <w:pPr>
        <w:spacing w:after="120" w:afterLines="50" w:line="360" w:lineRule="auto"/>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lang w:eastAsia="zh-CN"/>
        </w:rPr>
        <w:t>佛山市消防救援支队</w:t>
      </w:r>
      <w:r>
        <w:rPr>
          <w:rFonts w:hint="eastAsia" w:asciiTheme="minorEastAsia" w:hAnsiTheme="minorEastAsia" w:eastAsiaTheme="minorEastAsia" w:cstheme="minorEastAsia"/>
          <w:b/>
          <w:color w:val="auto"/>
          <w:sz w:val="24"/>
          <w:highlight w:val="none"/>
          <w:u w:val="single"/>
        </w:rPr>
        <w:t>、</w:t>
      </w:r>
      <w:r>
        <w:rPr>
          <w:rFonts w:hint="eastAsia" w:asciiTheme="minorEastAsia" w:hAnsiTheme="minorEastAsia" w:eastAsiaTheme="minorEastAsia" w:cstheme="minorEastAsia"/>
          <w:b/>
          <w:color w:val="auto"/>
          <w:sz w:val="24"/>
          <w:highlight w:val="none"/>
          <w:u w:val="single"/>
          <w:lang w:eastAsia="zh-CN"/>
        </w:rPr>
        <w:t>广东远东招标代理有限公司</w:t>
      </w:r>
    </w:p>
    <w:p>
      <w:pPr>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我方根据《竞争性磋商文件》的要求，通过委任的全权代表，向贵方递交密封册装的全套响应文件参与下列项目的响应，现为我方的一切响应行为作</w:t>
      </w:r>
      <w:r>
        <w:rPr>
          <w:rFonts w:hint="eastAsia" w:asciiTheme="minorEastAsia" w:hAnsiTheme="minorEastAsia" w:eastAsiaTheme="minorEastAsia" w:cstheme="minorEastAsia"/>
          <w:bCs/>
          <w:color w:val="auto"/>
          <w:sz w:val="24"/>
          <w:szCs w:val="24"/>
          <w:highlight w:val="none"/>
        </w:rPr>
        <w:t>郑重承诺及声明如下：</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2021年省、市在佛山挂牌的火灾高风险区域整治工作实地检查评估项目</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项目名称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 w:val="24"/>
          <w:szCs w:val="24"/>
          <w:highlight w:val="none"/>
        </w:rPr>
        <w:t>；</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FEGD-ZT211328</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DOCVARIABLE  采购编号  \* MERGEFORMAT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fldChar w:fldCharType="end"/>
      </w:r>
    </w:p>
    <w:p>
      <w:pPr>
        <w:numPr>
          <w:ilvl w:val="0"/>
          <w:numId w:val="26"/>
        </w:numPr>
        <w:tabs>
          <w:tab w:val="left" w:pos="900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我方已认真阅读了全部采购文件及其相关文件，完全清楚理解其内容要求及规约，对文件的合理性、公正性和程序安排均没有任何异议、质疑和误解之处。</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我方没有为本项目提供整体设计、规范编制或者项目管理、监理、检测等服务。</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响应有效期自递交响应文件起至确定正式成交供应商止，若我方获成交资格，响应有效期则相应延长至项目最终验收合格之日，不论在任何时候，定将按贵方的要求在规定时间内如实提供一切补充材料。</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完全服从和尊重磋商小组所作的评审结果，同时清楚理解到仅凭报价或单一竞争优势并非是决定成交资格的唯一重要依据。</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同意按采购文件的要求认真履行成交供应商应尽的义务，若我方行为不当而损害了采购方的合法权益，我方愿在任何时候无条件承担相应的缔约过失责任和经济赔偿。</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我方已依法缴纳了各项税费及社会保险费用，如有需要，可随时向采购方提交近三个月内的相关缴费证明，以便核查。</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我方已依法建立健全的财务会计制度，如有需要，可随时向采购方提交相关证明材料，以便核查。</w:t>
      </w:r>
    </w:p>
    <w:p>
      <w:pPr>
        <w:numPr>
          <w:ilvl w:val="0"/>
          <w:numId w:val="26"/>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本承诺函效力及范围均涵盖我方整套响应文件和一切补充文件。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dotted"/>
        </w:rPr>
        <w:t xml:space="preserve">           （全称）                </w:t>
      </w:r>
      <w:r>
        <w:rPr>
          <w:rFonts w:hint="eastAsia" w:asciiTheme="minorEastAsia" w:hAnsiTheme="minorEastAsia" w:eastAsiaTheme="minorEastAsia" w:cstheme="minorEastAsia"/>
          <w:color w:val="auto"/>
          <w:sz w:val="24"/>
          <w:szCs w:val="24"/>
          <w:highlight w:val="none"/>
        </w:rPr>
        <w:t xml:space="preserve"> （公章）</w:t>
      </w:r>
    </w:p>
    <w:p>
      <w:pPr>
        <w:keepNext w:val="0"/>
        <w:keepLines w:val="0"/>
        <w:pageBreakBefore w:val="0"/>
        <w:widowControl w:val="0"/>
        <w:tabs>
          <w:tab w:val="left" w:pos="-3780"/>
        </w:tabs>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承诺日期：</w:t>
      </w:r>
      <w:r>
        <w:rPr>
          <w:rFonts w:hint="eastAsia" w:asciiTheme="minorEastAsia" w:hAnsiTheme="minorEastAsia" w:eastAsiaTheme="minorEastAsia" w:cstheme="minorEastAsia"/>
          <w:color w:val="auto"/>
          <w:sz w:val="24"/>
          <w:szCs w:val="24"/>
          <w:highlight w:val="none"/>
          <w:lang w:val="en-US" w:eastAsia="zh-CN"/>
        </w:rPr>
        <w:t>2021</w:t>
      </w:r>
      <w:r>
        <w:rPr>
          <w:rFonts w:hint="eastAsia" w:asciiTheme="minorEastAsia" w:hAnsiTheme="minorEastAsia" w:eastAsiaTheme="minorEastAsia" w:cstheme="minorEastAsia"/>
          <w:color w:val="auto"/>
          <w:sz w:val="24"/>
          <w:szCs w:val="24"/>
          <w:highlight w:val="none"/>
        </w:rPr>
        <w:t>年    月    日。</w:t>
      </w:r>
    </w:p>
    <w:p>
      <w:pPr>
        <w:ind w:left="420" w:leftChars="200" w:right="363" w:rightChars="173"/>
        <w:rPr>
          <w:rFonts w:hint="eastAsia" w:asciiTheme="minorEastAsia" w:hAnsiTheme="minorEastAsia" w:eastAsiaTheme="minorEastAsia" w:cstheme="minorEastAsia"/>
          <w:color w:val="auto"/>
          <w:highlight w:val="none"/>
        </w:rPr>
      </w:pPr>
      <w:bookmarkStart w:id="386" w:name="_法人代表授权书"/>
      <w:bookmarkEnd w:id="386"/>
      <w:bookmarkStart w:id="387" w:name="_投标承诺函"/>
      <w:bookmarkEnd w:id="387"/>
      <w:bookmarkStart w:id="388" w:name="_Toc136682917"/>
      <w:bookmarkStart w:id="389" w:name="_Toc49329266"/>
      <w:bookmarkStart w:id="390" w:name="_Toc37670364"/>
      <w:bookmarkStart w:id="391" w:name="_Toc119321152"/>
      <w:bookmarkStart w:id="392" w:name="_Toc136662941"/>
      <w:r>
        <w:rPr>
          <w:rFonts w:hint="eastAsia" w:asciiTheme="minorEastAsia" w:hAnsiTheme="minorEastAsia" w:eastAsiaTheme="minorEastAsia" w:cstheme="minorEastAsia"/>
          <w:color w:val="auto"/>
          <w:highlight w:val="none"/>
        </w:rPr>
        <w:t>说明：</w:t>
      </w:r>
    </w:p>
    <w:p>
      <w:pPr>
        <w:tabs>
          <w:tab w:val="left" w:pos="-3780"/>
        </w:tabs>
        <w:ind w:left="420" w:left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1、本承诺函内容不得擅自删改。</w:t>
      </w:r>
    </w:p>
    <w:p>
      <w:pPr>
        <w:pStyle w:val="9"/>
        <w:pageBreakBefore/>
        <w:numPr>
          <w:ilvl w:val="0"/>
          <w:numId w:val="14"/>
        </w:numPr>
        <w:spacing w:after="120" w:afterLines="0"/>
        <w:ind w:left="414"/>
        <w:rPr>
          <w:rFonts w:hint="eastAsia" w:asciiTheme="minorEastAsia" w:hAnsiTheme="minorEastAsia" w:eastAsiaTheme="minorEastAsia" w:cstheme="minorEastAsia"/>
          <w:color w:val="auto"/>
          <w:sz w:val="36"/>
          <w:szCs w:val="36"/>
          <w:highlight w:val="none"/>
        </w:rPr>
        <w:sectPr>
          <w:pgSz w:w="11906" w:h="16838"/>
          <w:pgMar w:top="1440" w:right="1080" w:bottom="1440" w:left="1080" w:header="567" w:footer="737" w:gutter="0"/>
          <w:pgNumType w:fmt="decimal"/>
          <w:cols w:space="720" w:num="1"/>
          <w:docGrid w:linePitch="312" w:charSpace="0"/>
        </w:sectPr>
      </w:pPr>
      <w:bookmarkStart w:id="393" w:name="_法人授权书"/>
      <w:bookmarkEnd w:id="393"/>
      <w:bookmarkStart w:id="394" w:name="_Toc159385076"/>
    </w:p>
    <w:p>
      <w:pPr>
        <w:pStyle w:val="9"/>
        <w:pageBreakBefore/>
        <w:spacing w:after="120" w:afterLines="0"/>
        <w:ind w:left="0"/>
        <w:rPr>
          <w:rFonts w:hint="eastAsia" w:asciiTheme="minorEastAsia" w:hAnsiTheme="minorEastAsia" w:eastAsiaTheme="minorEastAsia" w:cstheme="minorEastAsia"/>
          <w:color w:val="auto"/>
          <w:sz w:val="36"/>
          <w:szCs w:val="36"/>
          <w:highlight w:val="none"/>
        </w:rPr>
      </w:pPr>
      <w:bookmarkStart w:id="395" w:name="_法人授权书_1"/>
      <w:bookmarkEnd w:id="395"/>
      <w:bookmarkStart w:id="396" w:name="_Toc14873257"/>
      <w:bookmarkStart w:id="397" w:name="_Toc4275"/>
      <w:bookmarkStart w:id="398" w:name="_Toc25532"/>
      <w:bookmarkStart w:id="399" w:name="_Toc3230"/>
      <w:bookmarkStart w:id="400" w:name="_Toc11842"/>
      <w:bookmarkStart w:id="401" w:name="_Toc22939"/>
      <w:bookmarkStart w:id="402" w:name="_Toc419106567"/>
      <w:bookmarkStart w:id="403" w:name="_Toc24149"/>
      <w:bookmarkStart w:id="404" w:name="_Toc17786"/>
      <w:bookmarkStart w:id="405" w:name="_Toc12876"/>
      <w:r>
        <w:rPr>
          <w:rFonts w:hint="eastAsia" w:asciiTheme="minorEastAsia" w:hAnsiTheme="minorEastAsia" w:eastAsiaTheme="minorEastAsia" w:cstheme="minorEastAsia"/>
          <w:color w:val="auto"/>
          <w:sz w:val="36"/>
          <w:szCs w:val="36"/>
          <w:highlight w:val="none"/>
          <w:lang w:val="en-US"/>
        </w:rPr>
        <w:t>1.2 法定代表人/负责人</w:t>
      </w:r>
      <w:r>
        <w:rPr>
          <w:rFonts w:hint="eastAsia" w:asciiTheme="minorEastAsia" w:hAnsiTheme="minorEastAsia" w:eastAsiaTheme="minorEastAsia" w:cstheme="minorEastAsia"/>
          <w:color w:val="auto"/>
          <w:sz w:val="36"/>
          <w:szCs w:val="36"/>
          <w:highlight w:val="none"/>
          <w:lang w:eastAsia="zh-CN"/>
        </w:rPr>
        <w:t>证明</w:t>
      </w:r>
      <w:r>
        <w:rPr>
          <w:rFonts w:hint="eastAsia" w:asciiTheme="minorEastAsia" w:hAnsiTheme="minorEastAsia" w:eastAsiaTheme="minorEastAsia" w:cstheme="minorEastAsia"/>
          <w:color w:val="auto"/>
          <w:sz w:val="36"/>
          <w:szCs w:val="36"/>
          <w:highlight w:val="none"/>
        </w:rPr>
        <w:t>书</w:t>
      </w:r>
      <w:bookmarkEnd w:id="396"/>
      <w:bookmarkEnd w:id="397"/>
      <w:bookmarkEnd w:id="398"/>
      <w:bookmarkEnd w:id="399"/>
      <w:bookmarkEnd w:id="400"/>
      <w:bookmarkEnd w:id="401"/>
      <w:bookmarkEnd w:id="402"/>
      <w:bookmarkEnd w:id="403"/>
      <w:bookmarkEnd w:id="404"/>
      <w:bookmarkEnd w:id="405"/>
    </w:p>
    <w:p>
      <w:pPr>
        <w:spacing w:line="360" w:lineRule="auto"/>
        <w:ind w:left="316" w:hanging="316" w:hangingChars="150"/>
        <w:rPr>
          <w:rFonts w:hint="eastAsia" w:asciiTheme="minorEastAsia" w:hAnsiTheme="minorEastAsia" w:eastAsiaTheme="minorEastAsia" w:cstheme="minorEastAsia"/>
          <w:b/>
          <w:bCs/>
          <w:color w:val="auto"/>
          <w:highlight w:val="none"/>
        </w:rPr>
      </w:pPr>
    </w:p>
    <w:p>
      <w:pPr>
        <w:spacing w:after="120" w:afterLines="50" w:line="360" w:lineRule="auto"/>
        <w:jc w:val="left"/>
        <w:rPr>
          <w:rFonts w:hint="eastAsia" w:asciiTheme="minorEastAsia" w:hAnsiTheme="minorEastAsia" w:eastAsiaTheme="minorEastAsia" w:cstheme="minorEastAsia"/>
          <w:color w:val="auto"/>
          <w:sz w:val="24"/>
          <w:highlight w:val="none"/>
          <w:lang w:eastAsia="zh-CN"/>
        </w:rPr>
      </w:pPr>
      <w:bookmarkStart w:id="406" w:name="_Toc304304969"/>
      <w:bookmarkStart w:id="407" w:name="_Toc3157"/>
      <w:bookmarkStart w:id="408" w:name="_Toc325031947"/>
      <w:bookmarkStart w:id="409" w:name="_Toc310519891"/>
      <w:bookmarkStart w:id="410" w:name="_Toc304886140"/>
      <w:bookmarkStart w:id="411" w:name="_Ref266198344"/>
      <w:bookmarkStart w:id="412" w:name="_Toc419106568"/>
      <w:bookmarkStart w:id="413" w:name="_Toc14873258"/>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lang w:eastAsia="zh-CN"/>
        </w:rPr>
        <w:t>佛山市消防救援支队</w:t>
      </w:r>
      <w:r>
        <w:rPr>
          <w:rFonts w:hint="eastAsia" w:asciiTheme="minorEastAsia" w:hAnsiTheme="minorEastAsia" w:eastAsiaTheme="minorEastAsia" w:cstheme="minorEastAsia"/>
          <w:b/>
          <w:color w:val="auto"/>
          <w:sz w:val="24"/>
          <w:highlight w:val="none"/>
          <w:u w:val="single"/>
        </w:rPr>
        <w:t>、</w:t>
      </w:r>
      <w:r>
        <w:rPr>
          <w:rFonts w:hint="eastAsia" w:asciiTheme="minorEastAsia" w:hAnsiTheme="minorEastAsia" w:eastAsiaTheme="minorEastAsia" w:cstheme="minorEastAsia"/>
          <w:b/>
          <w:color w:val="auto"/>
          <w:sz w:val="24"/>
          <w:highlight w:val="none"/>
          <w:u w:val="single"/>
          <w:lang w:eastAsia="zh-CN"/>
        </w:rPr>
        <w:t>广东远东招标代理有限公司</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同志，现任我单位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职务，为法定代表人，特此证明。</w:t>
      </w:r>
    </w:p>
    <w:p>
      <w:pPr>
        <w:spacing w:line="440" w:lineRule="exact"/>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签发日期：</w:t>
      </w:r>
      <w:r>
        <w:rPr>
          <w:rFonts w:hint="eastAsia" w:asciiTheme="minorEastAsia" w:hAnsiTheme="minorEastAsia" w:eastAsiaTheme="minorEastAsia" w:cstheme="minorEastAsia"/>
          <w:color w:val="auto"/>
          <w:sz w:val="24"/>
          <w:highlight w:val="none"/>
          <w:lang w:eastAsia="zh-CN"/>
        </w:rPr>
        <w:t>2021</w:t>
      </w:r>
      <w:r>
        <w:rPr>
          <w:rFonts w:hint="eastAsia" w:asciiTheme="minorEastAsia" w:hAnsiTheme="minorEastAsia" w:eastAsiaTheme="minorEastAsia" w:cstheme="minorEastAsia"/>
          <w:color w:val="auto"/>
          <w:sz w:val="24"/>
          <w:highlight w:val="none"/>
        </w:rPr>
        <w:t xml:space="preserve">年  月  日 </w:t>
      </w:r>
    </w:p>
    <w:p>
      <w:pPr>
        <w:spacing w:line="440" w:lineRule="exact"/>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加盖供应商公章</w:t>
      </w:r>
      <w:r>
        <w:rPr>
          <w:rFonts w:hint="eastAsia" w:asciiTheme="minorEastAsia" w:hAnsiTheme="minorEastAsia" w:eastAsiaTheme="minorEastAsia" w:cstheme="minorEastAsia"/>
          <w:color w:val="auto"/>
          <w:sz w:val="24"/>
          <w:highlight w:val="none"/>
        </w:rPr>
        <w:t>）</w:t>
      </w:r>
    </w:p>
    <w:p>
      <w:pPr>
        <w:spacing w:line="440" w:lineRule="exact"/>
        <w:ind w:firstLine="240" w:firstLineChars="100"/>
        <w:rPr>
          <w:rFonts w:hint="eastAsia" w:asciiTheme="minorEastAsia" w:hAnsiTheme="minorEastAsia" w:eastAsiaTheme="minorEastAsia" w:cstheme="minorEastAsia"/>
          <w:color w:val="auto"/>
          <w:sz w:val="24"/>
          <w:highlight w:val="none"/>
        </w:rPr>
      </w:pPr>
    </w:p>
    <w:p>
      <w:pPr>
        <w:spacing w:line="440" w:lineRule="exact"/>
        <w:ind w:firstLine="240" w:firstLineChars="1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附：法定代表人性别：</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年龄：</w:t>
      </w:r>
      <w:r>
        <w:rPr>
          <w:rFonts w:hint="eastAsia" w:asciiTheme="minorEastAsia" w:hAnsiTheme="minorEastAsia" w:eastAsiaTheme="minorEastAsia" w:cstheme="minorEastAsia"/>
          <w:color w:val="auto"/>
          <w:sz w:val="24"/>
          <w:highlight w:val="none"/>
          <w:u w:val="single"/>
        </w:rPr>
        <w:t xml:space="preserve">           </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营业执照号码：                       单位性质：</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成立时间：</w:t>
      </w:r>
    </w:p>
    <w:p>
      <w:pPr>
        <w:spacing w:line="440" w:lineRule="exact"/>
        <w:rPr>
          <w:rFonts w:hint="eastAsia" w:asciiTheme="minorEastAsia" w:hAnsiTheme="minorEastAsia" w:eastAsiaTheme="minorEastAsia" w:cstheme="minorEastAsia"/>
          <w:color w:val="auto"/>
          <w:sz w:val="24"/>
          <w:highlight w:val="none"/>
        </w:rPr>
      </w:pP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说明：1.法定代表人为企业事业单位、国家机关、社会团体的主要行政负责人。</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2.内容必须填写真实、清楚、涂改无效，不得转让、买卖。</w:t>
      </w:r>
    </w:p>
    <w:p>
      <w:pPr>
        <w:spacing w:line="440" w:lineRule="exact"/>
        <w:ind w:firstLine="720" w:firstLineChars="3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3.将此证明书提交对方作为合同附件</w:t>
      </w:r>
      <w:r>
        <w:rPr>
          <w:rFonts w:hint="eastAsia" w:asciiTheme="minorEastAsia" w:hAnsiTheme="minorEastAsia" w:eastAsiaTheme="minorEastAsia" w:cstheme="minorEastAsia"/>
          <w:b/>
          <w:color w:val="auto"/>
          <w:sz w:val="24"/>
          <w:highlight w:val="none"/>
        </w:rPr>
        <w:t>。</w:t>
      </w:r>
    </w:p>
    <w:p>
      <w:pPr>
        <w:rPr>
          <w:rFonts w:hint="eastAsia" w:asciiTheme="minorEastAsia" w:hAnsiTheme="minorEastAsia" w:eastAsiaTheme="minorEastAsia" w:cstheme="minorEastAsia"/>
          <w:color w:val="auto"/>
          <w:sz w:val="24"/>
          <w:highlight w:val="none"/>
        </w:rPr>
      </w:pPr>
    </w:p>
    <w:p>
      <w:pPr>
        <w:spacing w:after="120" w:afterLines="50"/>
        <w:ind w:left="2" w:leftChars="-85" w:hanging="180" w:hangingChars="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rPr>
        <w:t xml:space="preserve"> 附：法定代表人的身份证复印件：</w:t>
      </w:r>
    </w:p>
    <w:bookmarkEnd w:id="406"/>
    <w:bookmarkEnd w:id="407"/>
    <w:bookmarkEnd w:id="408"/>
    <w:bookmarkEnd w:id="409"/>
    <w:bookmarkEnd w:id="410"/>
    <w:bookmarkEnd w:id="411"/>
    <w:bookmarkEnd w:id="412"/>
    <w:bookmarkEnd w:id="413"/>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2" w:hRule="atLeast"/>
          <w:jc w:val="center"/>
        </w:trPr>
        <w:tc>
          <w:tcPr>
            <w:tcW w:w="9396" w:type="dxa"/>
            <w:noWrap w:val="0"/>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此处粘贴法定代表人身份证复印件（双面） </w:t>
            </w:r>
            <w:r>
              <w:rPr>
                <w:rFonts w:hint="eastAsia" w:asciiTheme="minorEastAsia" w:hAnsiTheme="minorEastAsia" w:eastAsiaTheme="minorEastAsia" w:cstheme="minorEastAsia"/>
                <w:b/>
                <w:color w:val="auto"/>
                <w:sz w:val="24"/>
                <w:highlight w:val="none"/>
              </w:rPr>
              <w:t>或</w:t>
            </w:r>
            <w:r>
              <w:rPr>
                <w:rFonts w:hint="eastAsia" w:asciiTheme="minorEastAsia" w:hAnsiTheme="minorEastAsia" w:eastAsiaTheme="minorEastAsia" w:cstheme="minorEastAsia"/>
                <w:color w:val="auto"/>
                <w:sz w:val="24"/>
                <w:highlight w:val="none"/>
              </w:rPr>
              <w:t xml:space="preserve"> 直接扫描到此张纸上，并加盖供应商法人公章</w:t>
            </w:r>
          </w:p>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注：若页面不够位置的，可另行附页，但须紧接此页</w:t>
            </w:r>
          </w:p>
        </w:tc>
      </w:tr>
    </w:tbl>
    <w:p>
      <w:pPr>
        <w:ind w:left="420" w:leftChars="200" w:right="363" w:rightChars="173"/>
        <w:rPr>
          <w:rFonts w:hint="eastAsia" w:asciiTheme="minorEastAsia" w:hAnsiTheme="minorEastAsia" w:eastAsiaTheme="minorEastAsia" w:cstheme="minorEastAsia"/>
          <w:color w:val="auto"/>
          <w:highlight w:val="none"/>
        </w:rPr>
      </w:pPr>
    </w:p>
    <w:bookmarkEnd w:id="388"/>
    <w:bookmarkEnd w:id="389"/>
    <w:bookmarkEnd w:id="390"/>
    <w:bookmarkEnd w:id="391"/>
    <w:bookmarkEnd w:id="392"/>
    <w:bookmarkEnd w:id="394"/>
    <w:p>
      <w:pPr>
        <w:pStyle w:val="9"/>
        <w:pageBreakBefore/>
        <w:spacing w:after="120" w:afterLines="0"/>
        <w:ind w:left="0"/>
        <w:rPr>
          <w:rFonts w:hint="eastAsia" w:asciiTheme="minorEastAsia" w:hAnsiTheme="minorEastAsia" w:eastAsiaTheme="minorEastAsia" w:cstheme="minorEastAsia"/>
          <w:color w:val="auto"/>
          <w:sz w:val="36"/>
          <w:szCs w:val="36"/>
          <w:highlight w:val="none"/>
          <w:lang w:val="en-US"/>
        </w:rPr>
      </w:pPr>
      <w:bookmarkStart w:id="414" w:name="_企业资质、资格性证明"/>
      <w:bookmarkEnd w:id="414"/>
      <w:bookmarkStart w:id="415" w:name="_Toc3986"/>
      <w:bookmarkStart w:id="416" w:name="_Toc25633"/>
      <w:bookmarkStart w:id="417" w:name="_Toc1089"/>
      <w:bookmarkStart w:id="418" w:name="_Toc145"/>
      <w:bookmarkStart w:id="419" w:name="_Toc13036"/>
      <w:bookmarkStart w:id="420" w:name="_Toc18311"/>
      <w:bookmarkStart w:id="421" w:name="_Toc31199"/>
      <w:bookmarkStart w:id="422" w:name="_Toc16815"/>
      <w:bookmarkStart w:id="423" w:name="_Toc438547162"/>
      <w:bookmarkStart w:id="424" w:name="_Toc14873259"/>
      <w:bookmarkStart w:id="425" w:name="_Toc419106569"/>
      <w:r>
        <w:rPr>
          <w:rFonts w:hint="eastAsia" w:asciiTheme="minorEastAsia" w:hAnsiTheme="minorEastAsia" w:eastAsiaTheme="minorEastAsia" w:cstheme="minorEastAsia"/>
          <w:color w:val="auto"/>
          <w:sz w:val="36"/>
          <w:szCs w:val="36"/>
          <w:highlight w:val="none"/>
          <w:lang w:val="en-US"/>
        </w:rPr>
        <w:t>1.3</w:t>
      </w:r>
      <w:bookmarkStart w:id="426" w:name="_Toc27685"/>
      <w:bookmarkStart w:id="427" w:name="_Toc17628"/>
      <w:bookmarkStart w:id="428" w:name="_Toc1549"/>
      <w:r>
        <w:rPr>
          <w:rFonts w:hint="eastAsia" w:asciiTheme="minorEastAsia" w:hAnsiTheme="minorEastAsia" w:eastAsiaTheme="minorEastAsia" w:cstheme="minorEastAsia"/>
          <w:color w:val="auto"/>
          <w:sz w:val="36"/>
          <w:szCs w:val="36"/>
          <w:highlight w:val="none"/>
          <w:lang w:val="en-US"/>
        </w:rPr>
        <w:t xml:space="preserve"> 法</w:t>
      </w:r>
      <w:r>
        <w:rPr>
          <w:rFonts w:hint="eastAsia" w:asciiTheme="minorEastAsia" w:hAnsiTheme="minorEastAsia" w:eastAsiaTheme="minorEastAsia" w:cstheme="minorEastAsia"/>
          <w:color w:val="auto"/>
          <w:sz w:val="36"/>
          <w:szCs w:val="36"/>
          <w:highlight w:val="none"/>
          <w:lang w:val="en-US" w:eastAsia="zh-CN"/>
        </w:rPr>
        <w:t>定代表人</w:t>
      </w:r>
      <w:r>
        <w:rPr>
          <w:rFonts w:hint="eastAsia" w:asciiTheme="minorEastAsia" w:hAnsiTheme="minorEastAsia" w:eastAsiaTheme="minorEastAsia" w:cstheme="minorEastAsia"/>
          <w:color w:val="auto"/>
          <w:sz w:val="36"/>
          <w:szCs w:val="36"/>
          <w:highlight w:val="none"/>
          <w:lang w:val="en-US"/>
        </w:rPr>
        <w:t>（负责人）授权书</w:t>
      </w:r>
      <w:bookmarkEnd w:id="415"/>
      <w:bookmarkEnd w:id="416"/>
      <w:bookmarkEnd w:id="417"/>
      <w:bookmarkEnd w:id="418"/>
      <w:bookmarkEnd w:id="419"/>
      <w:bookmarkEnd w:id="420"/>
      <w:bookmarkEnd w:id="421"/>
      <w:bookmarkEnd w:id="426"/>
      <w:bookmarkEnd w:id="427"/>
      <w:bookmarkEnd w:id="428"/>
    </w:p>
    <w:p>
      <w:pPr>
        <w:spacing w:after="120" w:afterLines="50" w:line="360" w:lineRule="auto"/>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lang w:eastAsia="zh-CN"/>
        </w:rPr>
        <w:t>佛山市消防救援支队</w:t>
      </w:r>
      <w:r>
        <w:rPr>
          <w:rFonts w:hint="eastAsia" w:asciiTheme="minorEastAsia" w:hAnsiTheme="minorEastAsia" w:eastAsiaTheme="minorEastAsia" w:cstheme="minorEastAsia"/>
          <w:b/>
          <w:color w:val="auto"/>
          <w:sz w:val="24"/>
          <w:highlight w:val="none"/>
          <w:u w:val="single"/>
        </w:rPr>
        <w:t>、</w:t>
      </w:r>
      <w:r>
        <w:rPr>
          <w:rFonts w:hint="eastAsia" w:asciiTheme="minorEastAsia" w:hAnsiTheme="minorEastAsia" w:eastAsiaTheme="minorEastAsia" w:cstheme="minorEastAsia"/>
          <w:b/>
          <w:color w:val="auto"/>
          <w:sz w:val="24"/>
          <w:highlight w:val="none"/>
          <w:u w:val="single"/>
          <w:lang w:eastAsia="zh-CN"/>
        </w:rPr>
        <w:t>广东远东招标代理有限公司</w:t>
      </w:r>
    </w:p>
    <w:p>
      <w:pPr>
        <w:spacing w:line="324" w:lineRule="auto"/>
        <w:ind w:firstLine="480" w:firstLineChars="200"/>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pPr>
        <w:spacing w:line="324" w:lineRule="auto"/>
        <w:ind w:left="1727" w:leftChars="251" w:hanging="1200" w:hangingChars="500"/>
        <w:jc w:val="left"/>
        <w:rPr>
          <w:rFonts w:hint="eastAsia" w:asciiTheme="minorEastAsia" w:hAnsiTheme="minorEastAsia" w:eastAsiaTheme="minorEastAsia" w:cstheme="minorEastAsia"/>
          <w:color w:val="auto"/>
          <w:sz w:val="24"/>
          <w:highlight w:val="none"/>
          <w:lang w:val="en-GB"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2021年省、市在佛山挂牌的火灾高风险区域整治工作实地检查评估项目</w:t>
      </w:r>
    </w:p>
    <w:p>
      <w:pPr>
        <w:spacing w:line="324" w:lineRule="auto"/>
        <w:ind w:firstLine="528" w:firstLineChars="220"/>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项目编号：</w:t>
      </w:r>
      <w:r>
        <w:rPr>
          <w:rFonts w:hint="eastAsia" w:asciiTheme="minorEastAsia" w:hAnsiTheme="minorEastAsia" w:eastAsiaTheme="minorEastAsia" w:cstheme="minorEastAsia"/>
          <w:color w:val="auto"/>
          <w:sz w:val="24"/>
          <w:highlight w:val="none"/>
          <w:lang w:val="en-GB" w:eastAsia="zh-CN"/>
        </w:rPr>
        <w:t>FEGD-ZT211328</w:t>
      </w:r>
      <w:r>
        <w:rPr>
          <w:rFonts w:hint="eastAsia" w:asciiTheme="minorEastAsia" w:hAnsiTheme="minorEastAsia" w:eastAsiaTheme="minorEastAsia" w:cstheme="minorEastAsia"/>
          <w:color w:val="auto"/>
          <w:sz w:val="24"/>
          <w:highlight w:val="none"/>
          <w:lang w:val="en-GB"/>
        </w:rPr>
        <w:fldChar w:fldCharType="begin"/>
      </w:r>
      <w:r>
        <w:rPr>
          <w:rFonts w:hint="eastAsia" w:asciiTheme="minorEastAsia" w:hAnsiTheme="minorEastAsia" w:eastAsiaTheme="minorEastAsia" w:cstheme="minorEastAsia"/>
          <w:color w:val="auto"/>
          <w:sz w:val="24"/>
          <w:highlight w:val="none"/>
          <w:lang w:val="en-GB"/>
        </w:rPr>
        <w:instrText xml:space="preserve"> DOCVARIABLE  项目名称  \* MERGEFORMAT </w:instrText>
      </w:r>
      <w:r>
        <w:rPr>
          <w:rFonts w:hint="eastAsia" w:asciiTheme="minorEastAsia" w:hAnsiTheme="minorEastAsia" w:eastAsiaTheme="minorEastAsia" w:cstheme="minorEastAsia"/>
          <w:color w:val="auto"/>
          <w:sz w:val="24"/>
          <w:highlight w:val="none"/>
          <w:lang w:val="en-GB"/>
        </w:rPr>
        <w:fldChar w:fldCharType="separate"/>
      </w:r>
      <w:r>
        <w:rPr>
          <w:rFonts w:hint="eastAsia" w:asciiTheme="minorEastAsia" w:hAnsiTheme="minorEastAsia" w:eastAsiaTheme="minorEastAsia" w:cstheme="minorEastAsia"/>
          <w:color w:val="auto"/>
          <w:sz w:val="24"/>
          <w:highlight w:val="none"/>
          <w:lang w:val="en-GB"/>
        </w:rPr>
        <w:fldChar w:fldCharType="end"/>
      </w:r>
    </w:p>
    <w:p>
      <w:pPr>
        <w:spacing w:line="324"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委任授权代表姓名：</w:t>
      </w:r>
      <w:r>
        <w:rPr>
          <w:rFonts w:hint="eastAsia" w:asciiTheme="minorEastAsia" w:hAnsiTheme="minorEastAsia" w:eastAsiaTheme="minorEastAsia" w:cstheme="minorEastAsia"/>
          <w:color w:val="auto"/>
          <w:sz w:val="24"/>
          <w:highlight w:val="none"/>
          <w:u w:val="single"/>
        </w:rPr>
        <w:t xml:space="preserve">   （印刷体）    </w:t>
      </w:r>
      <w:r>
        <w:rPr>
          <w:rFonts w:hint="eastAsia" w:asciiTheme="minorEastAsia" w:hAnsiTheme="minorEastAsia" w:eastAsiaTheme="minorEastAsia" w:cstheme="minorEastAsia"/>
          <w:color w:val="auto"/>
          <w:sz w:val="24"/>
          <w:highlight w:val="none"/>
        </w:rPr>
        <w:t xml:space="preserve"> ，身份证号码：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324"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联系电话（手机）：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，现职务：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324"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授权权限：全权代表本单位参与上述项目的投标、</w:t>
      </w:r>
      <w:r>
        <w:rPr>
          <w:rFonts w:hint="eastAsia" w:asciiTheme="minorEastAsia" w:hAnsiTheme="minorEastAsia" w:eastAsiaTheme="minorEastAsia" w:cstheme="minorEastAsia"/>
          <w:color w:val="auto"/>
          <w:sz w:val="24"/>
          <w:highlight w:val="none"/>
          <w:lang w:val="en-GB"/>
        </w:rPr>
        <w:t>递交</w:t>
      </w:r>
      <w:r>
        <w:rPr>
          <w:rFonts w:hint="eastAsia" w:asciiTheme="minorEastAsia" w:hAnsiTheme="minorEastAsia" w:eastAsiaTheme="minorEastAsia" w:cstheme="minorEastAsia"/>
          <w:color w:val="auto"/>
          <w:sz w:val="24"/>
          <w:highlight w:val="none"/>
          <w:lang w:val="en-GB" w:eastAsia="zh-CN"/>
        </w:rPr>
        <w:t>响应</w:t>
      </w:r>
      <w:r>
        <w:rPr>
          <w:rFonts w:hint="eastAsia" w:asciiTheme="minorEastAsia" w:hAnsiTheme="minorEastAsia" w:eastAsiaTheme="minorEastAsia" w:cstheme="minorEastAsia"/>
          <w:color w:val="auto"/>
          <w:sz w:val="24"/>
          <w:highlight w:val="none"/>
          <w:lang w:val="en-GB"/>
        </w:rPr>
        <w:t>文件、出席开标全程、响应评委会临时召唤而出席评标现场；按照采购方和评委会的要求现场处理投标相关事宜；</w:t>
      </w:r>
      <w:r>
        <w:rPr>
          <w:rFonts w:hint="eastAsia" w:asciiTheme="minorEastAsia" w:hAnsiTheme="minorEastAsia" w:eastAsiaTheme="minorEastAsia" w:cstheme="minorEastAsia"/>
          <w:color w:val="auto"/>
          <w:sz w:val="24"/>
          <w:highlight w:val="none"/>
        </w:rPr>
        <w:t>负责提供与签署确认一切文书资料，以及向贵方递交的任何补充承诺。</w:t>
      </w:r>
    </w:p>
    <w:p>
      <w:pPr>
        <w:spacing w:line="324"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有效期限：与本项目</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文件要求的投标有效期相同，自本单位盖章之日起生效。</w:t>
      </w:r>
    </w:p>
    <w:p>
      <w:pPr>
        <w:spacing w:after="120" w:afterLines="50" w:line="324"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特此授权证明。</w:t>
      </w:r>
    </w:p>
    <w:p>
      <w:pPr>
        <w:spacing w:line="336" w:lineRule="auto"/>
        <w:ind w:firstLine="480" w:firstLineChars="200"/>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投标人名称：</w:t>
      </w:r>
      <w:r>
        <w:rPr>
          <w:rFonts w:hint="eastAsia" w:asciiTheme="minorEastAsia" w:hAnsiTheme="minorEastAsia" w:eastAsiaTheme="minorEastAsia" w:cstheme="minorEastAsia"/>
          <w:color w:val="auto"/>
          <w:sz w:val="24"/>
          <w:highlight w:val="none"/>
          <w:u w:val="dotted"/>
          <w:lang w:val="en-GB"/>
        </w:rPr>
        <w:t xml:space="preserve">       （全称）             </w:t>
      </w:r>
      <w:r>
        <w:rPr>
          <w:rFonts w:hint="eastAsia" w:asciiTheme="minorEastAsia" w:hAnsiTheme="minorEastAsia" w:eastAsiaTheme="minorEastAsia" w:cstheme="minorEastAsia"/>
          <w:color w:val="auto"/>
          <w:sz w:val="24"/>
          <w:highlight w:val="none"/>
          <w:lang w:val="en-GB"/>
        </w:rPr>
        <w:t xml:space="preserve"> （公章）</w:t>
      </w:r>
    </w:p>
    <w:p>
      <w:pPr>
        <w:spacing w:line="336" w:lineRule="auto"/>
        <w:ind w:firstLine="480" w:firstLineChars="200"/>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法定代表人（或事业单位负责人）：</w:t>
      </w:r>
      <w:r>
        <w:rPr>
          <w:rFonts w:hint="eastAsia" w:asciiTheme="minorEastAsia" w:hAnsiTheme="minorEastAsia" w:eastAsiaTheme="minorEastAsia" w:cstheme="minorEastAsia"/>
          <w:color w:val="auto"/>
          <w:sz w:val="24"/>
          <w:highlight w:val="none"/>
          <w:u w:val="dotted"/>
          <w:lang w:val="en-GB"/>
        </w:rPr>
        <w:t xml:space="preserve">                   </w:t>
      </w:r>
      <w:r>
        <w:rPr>
          <w:rFonts w:hint="eastAsia" w:asciiTheme="minorEastAsia" w:hAnsiTheme="minorEastAsia" w:eastAsiaTheme="minorEastAsia" w:cstheme="minorEastAsia"/>
          <w:color w:val="auto"/>
          <w:sz w:val="24"/>
          <w:highlight w:val="none"/>
          <w:lang w:val="en-GB"/>
        </w:rPr>
        <w:t>（亲笔签名）</w:t>
      </w:r>
    </w:p>
    <w:p>
      <w:pPr>
        <w:spacing w:line="336" w:lineRule="auto"/>
        <w:ind w:firstLine="480" w:firstLineChars="200"/>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职    务：</w:t>
      </w:r>
      <w:r>
        <w:rPr>
          <w:rFonts w:hint="eastAsia" w:asciiTheme="minorEastAsia" w:hAnsiTheme="minorEastAsia" w:eastAsiaTheme="minorEastAsia" w:cstheme="minorEastAsia"/>
          <w:color w:val="auto"/>
          <w:sz w:val="24"/>
          <w:highlight w:val="none"/>
          <w:u w:val="dotted"/>
          <w:lang w:val="en-GB"/>
        </w:rPr>
        <w:t xml:space="preserve">           </w:t>
      </w:r>
      <w:r>
        <w:rPr>
          <w:rFonts w:hint="eastAsia" w:asciiTheme="minorEastAsia" w:hAnsiTheme="minorEastAsia" w:eastAsiaTheme="minorEastAsia" w:cstheme="minorEastAsia"/>
          <w:color w:val="auto"/>
          <w:sz w:val="24"/>
          <w:highlight w:val="none"/>
          <w:lang w:val="en-GB"/>
        </w:rPr>
        <w:t>；联系电话：</w:t>
      </w:r>
      <w:r>
        <w:rPr>
          <w:rFonts w:hint="eastAsia" w:asciiTheme="minorEastAsia" w:hAnsiTheme="minorEastAsia" w:eastAsiaTheme="minorEastAsia" w:cstheme="minorEastAsia"/>
          <w:color w:val="auto"/>
          <w:sz w:val="24"/>
          <w:highlight w:val="none"/>
          <w:u w:val="dotted"/>
          <w:lang w:val="en-GB"/>
        </w:rPr>
        <w:t xml:space="preserve">          </w:t>
      </w:r>
      <w:r>
        <w:rPr>
          <w:rFonts w:hint="eastAsia" w:asciiTheme="minorEastAsia" w:hAnsiTheme="minorEastAsia" w:eastAsiaTheme="minorEastAsia" w:cstheme="minorEastAsia"/>
          <w:color w:val="auto"/>
          <w:sz w:val="24"/>
          <w:highlight w:val="none"/>
          <w:lang w:val="en-GB"/>
        </w:rPr>
        <w:t>； 传真号码：</w:t>
      </w:r>
      <w:r>
        <w:rPr>
          <w:rFonts w:hint="eastAsia" w:asciiTheme="minorEastAsia" w:hAnsiTheme="minorEastAsia" w:eastAsiaTheme="minorEastAsia" w:cstheme="minorEastAsia"/>
          <w:color w:val="auto"/>
          <w:sz w:val="24"/>
          <w:highlight w:val="none"/>
          <w:u w:val="dotted"/>
          <w:lang w:val="en-GB"/>
        </w:rPr>
        <w:t xml:space="preserve">           </w:t>
      </w:r>
      <w:r>
        <w:rPr>
          <w:rFonts w:hint="eastAsia" w:asciiTheme="minorEastAsia" w:hAnsiTheme="minorEastAsia" w:eastAsiaTheme="minorEastAsia" w:cstheme="minorEastAsia"/>
          <w:color w:val="auto"/>
          <w:sz w:val="24"/>
          <w:highlight w:val="none"/>
          <w:lang w:val="en-GB"/>
        </w:rPr>
        <w:t>；</w:t>
      </w:r>
    </w:p>
    <w:p>
      <w:pPr>
        <w:spacing w:line="336" w:lineRule="auto"/>
        <w:ind w:firstLine="480" w:firstLineChars="200"/>
        <w:jc w:val="left"/>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生 效 日 期 ：</w:t>
      </w:r>
      <w:r>
        <w:rPr>
          <w:rFonts w:hint="eastAsia" w:asciiTheme="minorEastAsia" w:hAnsiTheme="minorEastAsia" w:eastAsiaTheme="minorEastAsia" w:cstheme="minorEastAsia"/>
          <w:color w:val="auto"/>
          <w:sz w:val="24"/>
          <w:highlight w:val="none"/>
          <w:lang w:val="en-GB" w:eastAsia="zh-CN"/>
        </w:rPr>
        <w:t>2021</w:t>
      </w:r>
      <w:r>
        <w:rPr>
          <w:rFonts w:hint="eastAsia" w:asciiTheme="minorEastAsia" w:hAnsiTheme="minorEastAsia" w:eastAsiaTheme="minorEastAsia" w:cstheme="minorEastAsia"/>
          <w:color w:val="auto"/>
          <w:sz w:val="24"/>
          <w:highlight w:val="none"/>
          <w:lang w:val="en-GB"/>
        </w:rPr>
        <w:t>年   月   日。</w:t>
      </w:r>
    </w:p>
    <w:p>
      <w:pPr>
        <w:spacing w:line="264" w:lineRule="auto"/>
        <w:ind w:left="420" w:leftChars="200" w:right="363" w:rightChars="173"/>
        <w:jc w:val="left"/>
        <w:rPr>
          <w:rFonts w:hint="eastAsia"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lang w:val="en-GB"/>
        </w:rPr>
        <w:t>说明：</w:t>
      </w:r>
    </w:p>
    <w:p>
      <w:pPr>
        <w:spacing w:line="264" w:lineRule="auto"/>
        <w:ind w:left="735" w:leftChars="200" w:right="363" w:rightChars="173" w:hanging="315" w:hangingChars="150"/>
        <w:jc w:val="left"/>
        <w:rPr>
          <w:rFonts w:hint="eastAsia"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lang w:val="en-GB"/>
        </w:rPr>
        <w:t>1、</w:t>
      </w:r>
      <w:r>
        <w:rPr>
          <w:rFonts w:hint="eastAsia" w:asciiTheme="minorEastAsia" w:hAnsiTheme="minorEastAsia" w:eastAsiaTheme="minorEastAsia" w:cstheme="minorEastAsia"/>
          <w:color w:val="auto"/>
          <w:szCs w:val="21"/>
          <w:highlight w:val="none"/>
          <w:u w:val="single"/>
          <w:lang w:val="en-GB"/>
        </w:rPr>
        <w:t>法定代表人 或 授权代表人在递交投标文件时，须向采购代理机构人员出示此份证明书的原件，否则，采购代理机构将拒收其投标文件。</w:t>
      </w:r>
    </w:p>
    <w:p>
      <w:pPr>
        <w:spacing w:line="264" w:lineRule="auto"/>
        <w:ind w:left="735" w:leftChars="200" w:hanging="315" w:hangingChars="150"/>
        <w:jc w:val="left"/>
        <w:rPr>
          <w:rFonts w:hint="eastAsia"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lang w:val="en-GB"/>
        </w:rPr>
        <w:t>2、本授权书内容不得擅自删改。</w:t>
      </w:r>
      <w:r>
        <w:rPr>
          <w:rFonts w:hint="eastAsia" w:asciiTheme="minorEastAsia" w:hAnsiTheme="minorEastAsia" w:eastAsiaTheme="minorEastAsia" w:cstheme="minorEastAsia"/>
          <w:color w:val="auto"/>
          <w:highlight w:val="none"/>
          <w:lang w:val="en-GB"/>
        </w:rPr>
        <w:t>如法定代表人（或事业单位负责人）亲临现场参与投标、决策、签字的，则不需此函。</w:t>
      </w:r>
    </w:p>
    <w:p>
      <w:pPr>
        <w:jc w:val="left"/>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附：被授权人的身份证复印件：</w:t>
      </w:r>
    </w:p>
    <w:tbl>
      <w:tblPr>
        <w:tblStyle w:val="24"/>
        <w:tblW w:w="0" w:type="auto"/>
        <w:tblInd w:w="0" w:type="dxa"/>
        <w:tblLayout w:type="fixed"/>
        <w:tblCellMar>
          <w:top w:w="0" w:type="dxa"/>
          <w:left w:w="108" w:type="dxa"/>
          <w:bottom w:w="0" w:type="dxa"/>
          <w:right w:w="108" w:type="dxa"/>
        </w:tblCellMar>
      </w:tblPr>
      <w:tblGrid>
        <w:gridCol w:w="9396"/>
      </w:tblGrid>
      <w:tr>
        <w:trPr>
          <w:trHeight w:val="2794" w:hRule="atLeast"/>
        </w:trPr>
        <w:tc>
          <w:tcPr>
            <w:tcW w:w="9396" w:type="dxa"/>
            <w:noWrap w:val="0"/>
            <w:vAlign w:val="center"/>
          </w:tcPr>
          <w:p>
            <w:pPr>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此处粘贴全权代表（被授权人）的身份证复印件（双面）</w:t>
            </w:r>
          </w:p>
          <w:p>
            <w:pPr>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或 直接扫描到此张纸上，并加盖投标人公章</w:t>
            </w:r>
          </w:p>
          <w:p>
            <w:pPr>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注：若页面不够位置的，可另行附页，但须紧接此页</w:t>
            </w:r>
          </w:p>
        </w:tc>
      </w:tr>
    </w:tbl>
    <w:p>
      <w:pPr>
        <w:rPr>
          <w:rFonts w:hint="eastAsia" w:asciiTheme="minorEastAsia" w:hAnsiTheme="minorEastAsia" w:eastAsiaTheme="minorEastAsia" w:cstheme="minorEastAsia"/>
          <w:color w:val="auto"/>
          <w:highlight w:val="none"/>
        </w:rPr>
      </w:pPr>
    </w:p>
    <w:bookmarkEnd w:id="422"/>
    <w:bookmarkEnd w:id="423"/>
    <w:bookmarkEnd w:id="424"/>
    <w:p>
      <w:pPr>
        <w:jc w:val="center"/>
        <w:outlineLvl w:val="2"/>
        <w:rPr>
          <w:rFonts w:hint="eastAsia" w:asciiTheme="minorEastAsia" w:hAnsiTheme="minorEastAsia" w:eastAsiaTheme="minorEastAsia" w:cstheme="minorEastAsia"/>
          <w:b/>
          <w:color w:val="auto"/>
          <w:kern w:val="0"/>
          <w:sz w:val="36"/>
          <w:szCs w:val="36"/>
          <w:highlight w:val="none"/>
        </w:rPr>
        <w:sectPr>
          <w:pgSz w:w="11906" w:h="16838"/>
          <w:pgMar w:top="1440" w:right="1080" w:bottom="1440" w:left="1080" w:header="567" w:footer="737" w:gutter="0"/>
          <w:pgNumType w:fmt="decimal"/>
          <w:cols w:space="720" w:num="1"/>
          <w:docGrid w:linePitch="312" w:charSpace="0"/>
        </w:sectPr>
      </w:pPr>
      <w:bookmarkStart w:id="429" w:name="_Toc4945"/>
      <w:bookmarkStart w:id="430" w:name="_Toc16412"/>
      <w:bookmarkStart w:id="431" w:name="_Toc3832"/>
      <w:bookmarkStart w:id="432" w:name="_Toc30050"/>
      <w:bookmarkStart w:id="433" w:name="_Toc17094"/>
      <w:bookmarkStart w:id="434" w:name="_Toc11212"/>
    </w:p>
    <w:p>
      <w:pPr>
        <w:pStyle w:val="9"/>
        <w:pageBreakBefore/>
        <w:spacing w:after="120" w:afterLines="0"/>
        <w:ind w:left="0"/>
        <w:rPr>
          <w:rFonts w:hint="eastAsia" w:asciiTheme="minorEastAsia" w:hAnsiTheme="minorEastAsia" w:eastAsiaTheme="minorEastAsia" w:cstheme="minorEastAsia"/>
          <w:color w:val="auto"/>
          <w:sz w:val="36"/>
          <w:szCs w:val="36"/>
          <w:highlight w:val="none"/>
        </w:rPr>
      </w:pPr>
      <w:bookmarkStart w:id="435" w:name="_Toc22046"/>
      <w:bookmarkStart w:id="436" w:name="_Toc18052"/>
      <w:bookmarkStart w:id="437" w:name="_Toc13905"/>
      <w:bookmarkStart w:id="438" w:name="_Toc14873260"/>
      <w:bookmarkStart w:id="439" w:name="_Toc21513"/>
      <w:bookmarkStart w:id="440" w:name="_Toc26113"/>
      <w:bookmarkStart w:id="441" w:name="_Toc4666"/>
      <w:bookmarkStart w:id="442" w:name="_Toc25073"/>
      <w:bookmarkStart w:id="443" w:name="_Toc17121"/>
      <w:r>
        <w:rPr>
          <w:rFonts w:hint="eastAsia" w:asciiTheme="minorEastAsia" w:hAnsiTheme="minorEastAsia" w:eastAsiaTheme="minorEastAsia" w:cstheme="minorEastAsia"/>
          <w:color w:val="auto"/>
          <w:sz w:val="36"/>
          <w:szCs w:val="36"/>
          <w:highlight w:val="none"/>
          <w:lang w:val="en-US"/>
        </w:rPr>
        <w:t>1.</w:t>
      </w:r>
      <w:r>
        <w:rPr>
          <w:rFonts w:hint="eastAsia" w:asciiTheme="minorEastAsia" w:hAnsiTheme="minorEastAsia" w:eastAsiaTheme="minorEastAsia" w:cstheme="minorEastAsia"/>
          <w:color w:val="auto"/>
          <w:sz w:val="36"/>
          <w:szCs w:val="36"/>
          <w:highlight w:val="none"/>
          <w:lang w:val="en-US" w:eastAsia="zh-CN"/>
        </w:rPr>
        <w:t>4</w:t>
      </w:r>
      <w:r>
        <w:rPr>
          <w:rFonts w:hint="eastAsia" w:asciiTheme="minorEastAsia" w:hAnsiTheme="minorEastAsia" w:eastAsiaTheme="minorEastAsia" w:cstheme="minorEastAsia"/>
          <w:color w:val="auto"/>
          <w:sz w:val="36"/>
          <w:szCs w:val="36"/>
          <w:highlight w:val="none"/>
          <w:lang w:val="en-US"/>
        </w:rPr>
        <w:t xml:space="preserve"> 守法经营声明书</w:t>
      </w:r>
      <w:bookmarkEnd w:id="435"/>
      <w:bookmarkEnd w:id="436"/>
      <w:bookmarkEnd w:id="437"/>
      <w:bookmarkEnd w:id="438"/>
      <w:bookmarkEnd w:id="439"/>
      <w:bookmarkEnd w:id="440"/>
      <w:bookmarkEnd w:id="441"/>
      <w:bookmarkEnd w:id="442"/>
      <w:bookmarkEnd w:id="443"/>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致：</w:t>
      </w:r>
      <w:r>
        <w:rPr>
          <w:rFonts w:hint="eastAsia" w:asciiTheme="minorEastAsia" w:hAnsiTheme="minorEastAsia" w:eastAsiaTheme="minorEastAsia" w:cstheme="minorEastAsia"/>
          <w:b/>
          <w:color w:val="auto"/>
          <w:sz w:val="24"/>
          <w:szCs w:val="24"/>
          <w:highlight w:val="none"/>
          <w:u w:val="single"/>
          <w:lang w:eastAsia="zh-CN"/>
        </w:rPr>
        <w:t>佛山市消防救援支队</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
          <w:color w:val="auto"/>
          <w:sz w:val="24"/>
          <w:szCs w:val="24"/>
          <w:highlight w:val="none"/>
          <w:u w:val="single"/>
          <w:lang w:eastAsia="zh-CN"/>
        </w:rPr>
        <w:t>广东远东招标代理有限公司</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为响应你方组织的</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2021年省、市在佛山挂牌的火灾高风险区域整治工作实地检查评估项目</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kern w:val="28"/>
          <w:sz w:val="24"/>
          <w:szCs w:val="24"/>
          <w:highlight w:val="none"/>
        </w:rPr>
        <w:t>的</w:t>
      </w:r>
      <w:r>
        <w:rPr>
          <w:rFonts w:hint="eastAsia" w:asciiTheme="minorEastAsia" w:hAnsiTheme="minorEastAsia" w:eastAsiaTheme="minorEastAsia" w:cstheme="minorEastAsia"/>
          <w:color w:val="auto"/>
          <w:sz w:val="24"/>
          <w:szCs w:val="24"/>
          <w:highlight w:val="none"/>
        </w:rPr>
        <w:t>招标[项目编号为：</w:t>
      </w:r>
      <w:r>
        <w:rPr>
          <w:rFonts w:hint="eastAsia" w:asciiTheme="minorEastAsia" w:hAnsiTheme="minorEastAsia" w:eastAsiaTheme="minorEastAsia" w:cstheme="minorEastAsia"/>
          <w:color w:val="auto"/>
          <w:sz w:val="24"/>
          <w:szCs w:val="24"/>
          <w:highlight w:val="none"/>
          <w:lang w:eastAsia="zh-CN"/>
        </w:rPr>
        <w:t>FEGD-ZT211328</w:t>
      </w:r>
      <w:r>
        <w:rPr>
          <w:rFonts w:hint="eastAsia" w:asciiTheme="minorEastAsia" w:hAnsiTheme="minorEastAsia" w:eastAsiaTheme="minorEastAsia" w:cstheme="minorEastAsia"/>
          <w:color w:val="auto"/>
          <w:sz w:val="24"/>
          <w:szCs w:val="24"/>
          <w:highlight w:val="none"/>
        </w:rPr>
        <w:t>]，我方愿参与投标并作出如下声明：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一、我方作为</w:t>
      </w:r>
      <w:r>
        <w:rPr>
          <w:rFonts w:hint="eastAsia" w:asciiTheme="minorEastAsia" w:hAnsiTheme="minorEastAsia" w:eastAsiaTheme="minorEastAsia" w:cstheme="minorEastAsia"/>
          <w:color w:val="auto"/>
          <w:sz w:val="24"/>
          <w:szCs w:val="24"/>
          <w:highlight w:val="none"/>
          <w:u w:val="single"/>
        </w:rPr>
        <w:t xml:space="preserve">   （投标人名称）   </w:t>
      </w:r>
      <w:r>
        <w:rPr>
          <w:rFonts w:hint="eastAsia" w:asciiTheme="minorEastAsia" w:hAnsiTheme="minorEastAsia" w:eastAsiaTheme="minorEastAsia" w:cstheme="minorEastAsia"/>
          <w:color w:val="auto"/>
          <w:sz w:val="24"/>
          <w:szCs w:val="24"/>
          <w:highlight w:val="none"/>
        </w:rPr>
        <w:t>是在法律、财务和运作上独立于采购人、采购代理机构的投标人，提交所有文件和全部说明是真实的和正确的。</w:t>
      </w:r>
    </w:p>
    <w:p>
      <w:pPr>
        <w:pStyle w:val="5"/>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二、本公司（企业）具备《中华人民共和国政府采购法》第二十二条规定的条件：</w:t>
      </w:r>
    </w:p>
    <w:p>
      <w:pPr>
        <w:pStyle w:val="5"/>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（一）具有独立承担民事责任的能力（在中华人民共和国境内注册的单位提供</w:t>
      </w:r>
      <w:r>
        <w:rPr>
          <w:rFonts w:hint="eastAsia" w:asciiTheme="minorEastAsia" w:hAnsiTheme="minorEastAsia" w:eastAsiaTheme="minorEastAsia" w:cstheme="minorEastAsia"/>
          <w:color w:val="auto"/>
          <w:sz w:val="24"/>
          <w:szCs w:val="24"/>
          <w:highlight w:val="none"/>
          <w:lang w:eastAsia="zh-CN"/>
        </w:rPr>
        <w:t>有效的</w:t>
      </w:r>
      <w:r>
        <w:rPr>
          <w:rFonts w:hint="eastAsia" w:asciiTheme="minorEastAsia" w:hAnsiTheme="minorEastAsia" w:eastAsiaTheme="minorEastAsia" w:cstheme="minorEastAsia"/>
          <w:color w:val="auto"/>
          <w:sz w:val="24"/>
          <w:szCs w:val="24"/>
          <w:highlight w:val="none"/>
        </w:rPr>
        <w:t>营业执照或事业</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法人登记证或社会团体法人登记证书）；</w:t>
      </w:r>
    </w:p>
    <w:p>
      <w:pPr>
        <w:pStyle w:val="5"/>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（二）具有良好的商业信誉和健全的财务会计制度（</w:t>
      </w:r>
      <w:r>
        <w:rPr>
          <w:rFonts w:hint="eastAsia" w:asciiTheme="minorEastAsia" w:hAnsiTheme="minorEastAsia" w:eastAsiaTheme="minorEastAsia" w:cstheme="minorEastAsia"/>
          <w:color w:val="auto"/>
          <w:sz w:val="24"/>
          <w:highlight w:val="none"/>
          <w:lang w:eastAsia="zh-CN"/>
        </w:rPr>
        <w:t>提供2020年度财务审计报告或2021年度任意1个月的财务状况报告复印件或基本开户银行出具的资信证明</w:t>
      </w:r>
      <w:r>
        <w:rPr>
          <w:rFonts w:hint="eastAsia" w:asciiTheme="minorEastAsia" w:hAnsiTheme="minorEastAsia" w:eastAsiaTheme="minorEastAsia" w:cstheme="minorEastAsia"/>
          <w:color w:val="auto"/>
          <w:sz w:val="24"/>
          <w:szCs w:val="24"/>
          <w:highlight w:val="none"/>
        </w:rPr>
        <w:t>）；</w:t>
      </w:r>
    </w:p>
    <w:p>
      <w:pPr>
        <w:pStyle w:val="5"/>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）有依法缴纳税收和社会保障资金的良好记录（</w:t>
      </w:r>
      <w:r>
        <w:rPr>
          <w:rFonts w:hint="eastAsia" w:asciiTheme="minorEastAsia" w:hAnsiTheme="minorEastAsia" w:eastAsiaTheme="minorEastAsia" w:cstheme="minorEastAsia"/>
          <w:color w:val="auto"/>
          <w:sz w:val="24"/>
          <w:highlight w:val="none"/>
        </w:rPr>
        <w:t>提供</w:t>
      </w:r>
      <w:r>
        <w:rPr>
          <w:rFonts w:hint="eastAsia" w:asciiTheme="minorEastAsia" w:hAnsiTheme="minorEastAsia" w:eastAsiaTheme="minorEastAsia" w:cstheme="minorEastAsia"/>
          <w:color w:val="auto"/>
          <w:sz w:val="24"/>
          <w:highlight w:val="none"/>
          <w:lang w:eastAsia="zh-CN"/>
        </w:rPr>
        <w:t>2021</w:t>
      </w:r>
      <w:r>
        <w:rPr>
          <w:rFonts w:hint="eastAsia" w:asciiTheme="minorEastAsia" w:hAnsiTheme="minorEastAsia" w:eastAsiaTheme="minorEastAsia" w:cstheme="minorEastAsia"/>
          <w:color w:val="auto"/>
          <w:sz w:val="24"/>
          <w:highlight w:val="none"/>
        </w:rPr>
        <w:t>年任意1个月依法缴纳税收和社会保障资金的相关材料。如依法免税或不需要缴纳社会保障资金的，提供相应证明材料</w:t>
      </w:r>
      <w:r>
        <w:rPr>
          <w:rFonts w:hint="eastAsia" w:asciiTheme="minorEastAsia" w:hAnsiTheme="minorEastAsia" w:eastAsiaTheme="minorEastAsia" w:cstheme="minorEastAsia"/>
          <w:color w:val="auto"/>
          <w:sz w:val="24"/>
          <w:szCs w:val="24"/>
          <w:highlight w:val="none"/>
        </w:rPr>
        <w:t>）；</w:t>
      </w:r>
    </w:p>
    <w:p>
      <w:pPr>
        <w:pStyle w:val="5"/>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）具有履行合同所必需的设备和专业技术能力；</w:t>
      </w:r>
    </w:p>
    <w:p>
      <w:pPr>
        <w:pStyle w:val="5"/>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（五）参加政府采购活动前三年内，在经营活动中没有重大违法记录；</w:t>
      </w:r>
    </w:p>
    <w:p>
      <w:pPr>
        <w:pStyle w:val="5"/>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三、本公司（企业）的单位负责人与所参投的本采购项目的其他投标人的单位负责人不为同一人且与其他投标人之间不存在直接控股、管理关系。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五</w:t>
      </w:r>
      <w:r>
        <w:rPr>
          <w:rFonts w:hint="eastAsia" w:asciiTheme="minorEastAsia" w:hAnsiTheme="minorEastAsia" w:eastAsiaTheme="minorEastAsia" w:cstheme="minorEastAsia"/>
          <w:color w:val="auto"/>
          <w:sz w:val="24"/>
          <w:szCs w:val="24"/>
          <w:highlight w:val="none"/>
        </w:rPr>
        <w:t>、本公司（企业）承诺在本次招标采购活动中，如有违法、违规、弄虚作假行为，所造成的损失、不良后果及法律责任，一律由我公司（企业）承担。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、我方理解你方可能还要求提供更进一步的资格资料，并愿意应你方的要求提交。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加盖投标人公章</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GB"/>
        </w:rPr>
        <w:t>法定代表人（或授权代表）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（亲笔签字）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firstLine="420" w:firstLineChars="20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63" w:rightChars="173"/>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1、本声明书内容不得擅自删改。</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color w:val="auto"/>
          <w:kern w:val="0"/>
          <w:sz w:val="36"/>
          <w:szCs w:val="36"/>
          <w:highlight w:val="none"/>
          <w:lang w:val="en-US" w:eastAsia="zh-CN"/>
        </w:rPr>
        <w:sectPr>
          <w:pgSz w:w="11906" w:h="16838"/>
          <w:pgMar w:top="1440" w:right="1080" w:bottom="1440" w:left="1080" w:header="567" w:footer="737" w:gutter="0"/>
          <w:pgNumType w:fmt="decimal"/>
          <w:cols w:space="720" w:num="1"/>
          <w:docGrid w:linePitch="312" w:charSpace="0"/>
        </w:sectPr>
      </w:pPr>
      <w:r>
        <w:rPr>
          <w:rFonts w:hint="eastAsia" w:asciiTheme="minorEastAsia" w:hAnsiTheme="minorEastAsia" w:eastAsiaTheme="minorEastAsia" w:cstheme="minorEastAsia"/>
          <w:color w:val="auto"/>
          <w:highlight w:val="none"/>
        </w:rPr>
        <w:t>2、后附证明材料</w:t>
      </w:r>
      <w:r>
        <w:rPr>
          <w:rFonts w:hint="eastAsia" w:asciiTheme="minorEastAsia" w:hAnsiTheme="minorEastAsia" w:eastAsiaTheme="minorEastAsia" w:cstheme="minorEastAsia"/>
          <w:color w:val="auto"/>
          <w:highlight w:val="none"/>
          <w:lang w:eastAsia="zh-CN"/>
        </w:rPr>
        <w:t>。</w:t>
      </w:r>
    </w:p>
    <w:bookmarkEnd w:id="425"/>
    <w:bookmarkEnd w:id="429"/>
    <w:bookmarkEnd w:id="430"/>
    <w:bookmarkEnd w:id="431"/>
    <w:bookmarkEnd w:id="432"/>
    <w:bookmarkEnd w:id="433"/>
    <w:bookmarkEnd w:id="434"/>
    <w:p>
      <w:pPr>
        <w:pStyle w:val="9"/>
        <w:pageBreakBefore/>
        <w:spacing w:after="120" w:afterLines="0"/>
        <w:ind w:left="0"/>
        <w:rPr>
          <w:rFonts w:hint="eastAsia" w:asciiTheme="minorEastAsia" w:hAnsiTheme="minorEastAsia" w:eastAsiaTheme="minorEastAsia" w:cstheme="minorEastAsia"/>
          <w:color w:val="auto"/>
          <w:sz w:val="36"/>
          <w:szCs w:val="36"/>
          <w:highlight w:val="none"/>
          <w:lang w:val="en-US"/>
        </w:rPr>
      </w:pPr>
      <w:bookmarkStart w:id="444" w:name="_Toc1958"/>
      <w:bookmarkStart w:id="445" w:name="_Toc14708"/>
      <w:bookmarkStart w:id="446" w:name="_Toc29522"/>
      <w:bookmarkStart w:id="447" w:name="_Toc13685"/>
      <w:bookmarkStart w:id="448" w:name="_Toc24426"/>
      <w:bookmarkStart w:id="449" w:name="_Toc14873261"/>
      <w:bookmarkStart w:id="450" w:name="_Toc438547164"/>
      <w:bookmarkStart w:id="451" w:name="_Toc26899"/>
      <w:bookmarkStart w:id="452" w:name="_Toc8977"/>
      <w:bookmarkStart w:id="453" w:name="_Toc30824"/>
      <w:r>
        <w:rPr>
          <w:rFonts w:hint="eastAsia" w:asciiTheme="minorEastAsia" w:hAnsiTheme="minorEastAsia" w:eastAsiaTheme="minorEastAsia" w:cstheme="minorEastAsia"/>
          <w:color w:val="auto"/>
          <w:sz w:val="36"/>
          <w:szCs w:val="36"/>
          <w:highlight w:val="none"/>
          <w:lang w:val="en-US"/>
        </w:rPr>
        <w:t>1.</w:t>
      </w:r>
      <w:r>
        <w:rPr>
          <w:rFonts w:hint="eastAsia" w:asciiTheme="minorEastAsia" w:hAnsiTheme="minorEastAsia" w:eastAsiaTheme="minorEastAsia" w:cstheme="minorEastAsia"/>
          <w:color w:val="auto"/>
          <w:sz w:val="36"/>
          <w:szCs w:val="36"/>
          <w:highlight w:val="none"/>
          <w:lang w:val="en-US" w:eastAsia="zh-CN"/>
        </w:rPr>
        <w:t>5</w:t>
      </w:r>
      <w:r>
        <w:rPr>
          <w:rFonts w:hint="eastAsia" w:asciiTheme="minorEastAsia" w:hAnsiTheme="minorEastAsia" w:eastAsiaTheme="minorEastAsia" w:cstheme="minorEastAsia"/>
          <w:color w:val="auto"/>
          <w:sz w:val="36"/>
          <w:szCs w:val="36"/>
          <w:highlight w:val="none"/>
          <w:lang w:val="en-US"/>
        </w:rPr>
        <w:t xml:space="preserve"> 其他证明材料</w:t>
      </w:r>
      <w:bookmarkEnd w:id="444"/>
      <w:bookmarkEnd w:id="445"/>
      <w:bookmarkEnd w:id="446"/>
      <w:bookmarkEnd w:id="447"/>
      <w:bookmarkEnd w:id="448"/>
      <w:bookmarkEnd w:id="449"/>
      <w:bookmarkEnd w:id="450"/>
      <w:bookmarkEnd w:id="451"/>
      <w:bookmarkEnd w:id="452"/>
      <w:bookmarkEnd w:id="453"/>
    </w:p>
    <w:p>
      <w:pPr>
        <w:spacing w:line="48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8"/>
          <w:szCs w:val="28"/>
          <w:highlight w:val="none"/>
        </w:rPr>
        <w:t>以下材料须按照资格性文件清单所列述的要求提供：</w:t>
      </w:r>
    </w:p>
    <w:p>
      <w:pPr>
        <w:numPr>
          <w:ilvl w:val="0"/>
          <w:numId w:val="27"/>
        </w:numPr>
        <w:spacing w:line="360" w:lineRule="auto"/>
        <w:jc w:val="left"/>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提供“信用中国”网站（www.creditchina.gov.cn）以及中国政府采购网(www.ccgp.gov.cn)查询结果网页打印件，如相关失信记录已失效，供应商需提供相关证明资料；（以采购代理机构于投标截止日当天在“信用中国”网站及中国政府采购网查询结果为准）</w:t>
      </w:r>
    </w:p>
    <w:p>
      <w:pPr>
        <w:numPr>
          <w:ilvl w:val="0"/>
          <w:numId w:val="27"/>
        </w:numPr>
        <w:spacing w:line="360" w:lineRule="auto"/>
        <w:jc w:val="left"/>
        <w:rPr>
          <w:rFonts w:hint="eastAsia" w:asciiTheme="minorEastAsia" w:hAnsiTheme="minorEastAsia" w:eastAsiaTheme="minorEastAsia" w:cstheme="minorEastAsia"/>
          <w:color w:val="auto"/>
          <w:highlight w:val="none"/>
          <w:lang w:val="hr-HR"/>
        </w:rPr>
      </w:pPr>
      <w:r>
        <w:rPr>
          <w:rFonts w:hint="eastAsia" w:asciiTheme="minorEastAsia" w:hAnsiTheme="minorEastAsia" w:eastAsiaTheme="minorEastAsia" w:cstheme="minorEastAsia"/>
          <w:color w:val="auto"/>
          <w:highlight w:val="none"/>
          <w:lang w:val="hr-HR"/>
        </w:rPr>
        <w:t>符合应急管理部消防部门印发的消防技术服务机构从业条件﹝以《应急管理部关于印发&lt;消防技术服务机构从业条件&gt;的通知》应急【2019】88 号) 的要求为准，需提供承诺书及社会消防技术服务信息系统备案截图（https://www.shhxf119.com）﹞</w:t>
      </w:r>
    </w:p>
    <w:p>
      <w:pPr>
        <w:numPr>
          <w:ilvl w:val="0"/>
          <w:numId w:val="27"/>
        </w:numPr>
        <w:spacing w:line="360" w:lineRule="auto"/>
        <w:jc w:val="left"/>
        <w:rPr>
          <w:rFonts w:hint="eastAsia" w:asciiTheme="minorEastAsia" w:hAnsiTheme="minorEastAsia" w:eastAsiaTheme="minorEastAsia" w:cstheme="minorEastAsia"/>
          <w:color w:val="auto"/>
          <w:highlight w:val="none"/>
          <w:lang w:val="hr-HR"/>
        </w:rPr>
      </w:pPr>
      <w:r>
        <w:rPr>
          <w:rFonts w:hint="eastAsia" w:asciiTheme="minorEastAsia" w:hAnsiTheme="minorEastAsia" w:eastAsiaTheme="minorEastAsia" w:cstheme="minorEastAsia"/>
          <w:color w:val="auto"/>
          <w:highlight w:val="none"/>
          <w:lang w:val="hr-HR"/>
        </w:rPr>
        <w:t>其他投标人认为有必要提供的材料。</w:t>
      </w:r>
    </w:p>
    <w:p>
      <w:pPr>
        <w:pStyle w:val="16"/>
        <w:rPr>
          <w:rFonts w:hint="eastAsia" w:asciiTheme="minorEastAsia" w:hAnsiTheme="minorEastAsia" w:eastAsiaTheme="minorEastAsia" w:cstheme="minorEastAsia"/>
          <w:color w:val="auto"/>
          <w:highlight w:val="none"/>
          <w:lang w:val="hr-HR"/>
        </w:rPr>
      </w:pPr>
    </w:p>
    <w:p>
      <w:pPr>
        <w:pStyle w:val="16"/>
        <w:rPr>
          <w:rFonts w:hint="eastAsia" w:asciiTheme="minorEastAsia" w:hAnsiTheme="minorEastAsia" w:eastAsiaTheme="minorEastAsia" w:cstheme="minorEastAsia"/>
          <w:color w:val="auto"/>
          <w:sz w:val="21"/>
          <w:szCs w:val="21"/>
          <w:highlight w:val="none"/>
          <w:lang w:val="hr-HR" w:eastAsia="zh-CN"/>
        </w:rPr>
      </w:pPr>
      <w:r>
        <w:rPr>
          <w:rFonts w:hint="eastAsia" w:asciiTheme="minorEastAsia" w:hAnsiTheme="minorEastAsia" w:eastAsiaTheme="minorEastAsia" w:cstheme="minorEastAsia"/>
          <w:color w:val="auto"/>
          <w:sz w:val="21"/>
          <w:szCs w:val="21"/>
          <w:highlight w:val="none"/>
          <w:lang w:val="hr-HR" w:eastAsia="zh-CN"/>
        </w:rPr>
        <w:t>注：以上材料均须加盖投标人公章。</w:t>
      </w:r>
    </w:p>
    <w:p>
      <w:pPr>
        <w:pStyle w:val="8"/>
        <w:pageBreakBefore/>
        <w:rPr>
          <w:rFonts w:hint="eastAsia" w:asciiTheme="minorEastAsia" w:hAnsiTheme="minorEastAsia" w:eastAsiaTheme="minorEastAsia" w:cs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54" w:name="_Toc6029"/>
      <w:r>
        <w:rPr>
          <w:rFonts w:hint="eastAsia" w:asciiTheme="minorEastAsia" w:hAnsiTheme="minorEastAsia" w:eastAsiaTheme="minorEastAsia" w:cstheme="minorEastAsia"/>
          <w:b w:val="0"/>
          <w:bCs/>
          <w:color w:val="auto"/>
          <w:sz w:val="52"/>
          <w:highlight w:val="none"/>
        </w:rPr>
        <w:t>第二章  评审内容索引</w:t>
      </w:r>
      <w:bookmarkEnd w:id="365"/>
      <w:bookmarkEnd w:id="366"/>
      <w:bookmarkEnd w:id="367"/>
      <w:bookmarkEnd w:id="368"/>
      <w:bookmarkEnd w:id="369"/>
      <w:bookmarkEnd w:id="454"/>
    </w:p>
    <w:p>
      <w:pPr>
        <w:pStyle w:val="9"/>
        <w:pageBreakBefore/>
        <w:numPr>
          <w:ilvl w:val="0"/>
          <w:numId w:val="28"/>
        </w:numPr>
        <w:spacing w:after="120" w:afterLines="0"/>
        <w:rPr>
          <w:rFonts w:hint="eastAsia" w:asciiTheme="minorEastAsia" w:hAnsiTheme="minorEastAsia" w:eastAsiaTheme="minorEastAsia" w:cstheme="minorEastAsia"/>
          <w:color w:val="auto"/>
          <w:sz w:val="36"/>
          <w:szCs w:val="36"/>
          <w:highlight w:val="none"/>
        </w:rPr>
      </w:pPr>
      <w:bookmarkStart w:id="455" w:name="_评审内容索引表"/>
      <w:bookmarkEnd w:id="455"/>
      <w:bookmarkStart w:id="456" w:name="_Toc3608"/>
      <w:bookmarkStart w:id="457" w:name="_Toc11522"/>
      <w:bookmarkStart w:id="458" w:name="_Toc419106573"/>
      <w:bookmarkStart w:id="459" w:name="_Toc3785"/>
      <w:r>
        <w:rPr>
          <w:rFonts w:hint="eastAsia" w:asciiTheme="minorEastAsia" w:hAnsiTheme="minorEastAsia" w:eastAsiaTheme="minorEastAsia" w:cstheme="minorEastAsia"/>
          <w:color w:val="auto"/>
          <w:sz w:val="36"/>
          <w:szCs w:val="36"/>
          <w:highlight w:val="none"/>
        </w:rPr>
        <w:t>评审内容索引表</w:t>
      </w:r>
      <w:bookmarkEnd w:id="456"/>
      <w:bookmarkEnd w:id="457"/>
      <w:bookmarkEnd w:id="458"/>
      <w:bookmarkEnd w:id="459"/>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3"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ind w:left="0" w:leftChars="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自评分</w:t>
            </w:r>
          </w:p>
          <w:p>
            <w:pPr>
              <w:ind w:left="-99" w:leftChars="-47" w:right="-122" w:rightChars="-58"/>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资料所在</w:t>
            </w:r>
          </w:p>
          <w:p>
            <w:pPr>
              <w:pStyle w:val="3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页码范围</w:t>
            </w:r>
          </w:p>
          <w:p>
            <w:pPr>
              <w:pStyle w:val="11"/>
              <w:ind w:firstLine="195"/>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b/>
                <w:color w:val="auto"/>
                <w:sz w:val="18"/>
                <w:szCs w:val="18"/>
                <w:highlight w:val="none"/>
              </w:rPr>
              <w:t>（必填项）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商务部分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2" w:line="278" w:lineRule="auto"/>
              <w:ind w:right="84" w:rightChars="0"/>
              <w:jc w:val="center"/>
              <w:rPr>
                <w:rFonts w:hint="eastAsia" w:asciiTheme="minorEastAsia" w:hAnsiTheme="minorEastAsia" w:eastAsiaTheme="minorEastAsia" w:cs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eastAsia" w:asciiTheme="minorEastAsia" w:hAnsiTheme="minorEastAsia" w:eastAsiaTheme="minorEastAsia" w:cs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eastAsia" w:asciiTheme="minorEastAsia" w:hAnsiTheme="minorEastAsia" w:eastAsiaTheme="minorEastAsia" w:cs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eastAsia" w:asciiTheme="minorEastAsia" w:hAnsiTheme="minorEastAsia" w:eastAsiaTheme="minorEastAsia" w:cs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line="278" w:lineRule="auto"/>
              <w:ind w:right="188" w:rightChars="0"/>
              <w:jc w:val="center"/>
              <w:rPr>
                <w:rFonts w:hint="eastAsia" w:asciiTheme="minorEastAsia" w:hAnsiTheme="minorEastAsia" w:eastAsiaTheme="minorEastAsia" w:cs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eastAsia" w:asciiTheme="minorEastAsia" w:hAnsiTheme="minorEastAsia" w:eastAsiaTheme="minorEastAsia" w:cs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eastAsia" w:asciiTheme="minorEastAsia" w:hAnsiTheme="minorEastAsia" w:eastAsiaTheme="minorEastAsia" w:cs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eastAsia" w:asciiTheme="minorEastAsia" w:hAnsiTheme="minorEastAsia" w:eastAsiaTheme="minorEastAsia" w:cs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43"/>
              <w:jc w:val="center"/>
              <w:rPr>
                <w:rFonts w:hint="eastAsia" w:asciiTheme="minorEastAsia" w:hAnsiTheme="minorEastAsia" w:eastAsiaTheme="minorEastAsia" w:cs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eastAsia" w:asciiTheme="minorEastAsia" w:hAnsiTheme="minorEastAsia" w:eastAsiaTheme="minorEastAsia" w:cs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eastAsia" w:asciiTheme="minorEastAsia" w:hAnsiTheme="minorEastAsia" w:eastAsiaTheme="minorEastAsia" w:cs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eastAsia" w:asciiTheme="minorEastAsia" w:hAnsiTheme="minorEastAsia" w:eastAsiaTheme="minorEastAsia" w:cs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43"/>
              <w:jc w:val="center"/>
              <w:rPr>
                <w:rFonts w:hint="eastAsia" w:asciiTheme="minorEastAsia" w:hAnsiTheme="minorEastAsia" w:eastAsiaTheme="minorEastAsia" w:cs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eastAsia" w:asciiTheme="minorEastAsia" w:hAnsiTheme="minorEastAsia" w:eastAsiaTheme="minorEastAsia" w:cs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eastAsia" w:asciiTheme="minorEastAsia" w:hAnsiTheme="minorEastAsia" w:eastAsiaTheme="minorEastAsia" w:cs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技术部分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eastAsia" w:asciiTheme="minorEastAsia" w:hAnsiTheme="minorEastAsia" w:eastAsiaTheme="minorEastAsia" w:cs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eastAsia" w:asciiTheme="minorEastAsia" w:hAnsiTheme="minorEastAsia" w:eastAsiaTheme="minorEastAsia" w:cs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eastAsia" w:asciiTheme="minorEastAsia" w:hAnsiTheme="minorEastAsia" w:eastAsiaTheme="minorEastAsia" w:cs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eastAsia" w:asciiTheme="minorEastAsia" w:hAnsiTheme="minorEastAsia" w:eastAsiaTheme="minorEastAsia" w:cs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eastAsia" w:asciiTheme="minorEastAsia" w:hAnsiTheme="minorEastAsia" w:eastAsiaTheme="minorEastAsia" w:cs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eastAsia" w:asciiTheme="minorEastAsia" w:hAnsiTheme="minorEastAsia" w:eastAsiaTheme="minorEastAsia" w:cs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eastAsia" w:asciiTheme="minorEastAsia" w:hAnsiTheme="minorEastAsia" w:eastAsiaTheme="minorEastAsia" w:cs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eastAsia" w:asciiTheme="minorEastAsia" w:hAnsiTheme="minorEastAsia" w:eastAsiaTheme="minorEastAsia" w:cs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eastAsia" w:asciiTheme="minorEastAsia" w:hAnsiTheme="minorEastAsia" w:eastAsiaTheme="minorEastAsia" w:cs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eastAsia" w:asciiTheme="minorEastAsia" w:hAnsiTheme="minorEastAsia" w:eastAsiaTheme="minorEastAsia" w:cs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eastAsia" w:asciiTheme="minorEastAsia" w:hAnsiTheme="minorEastAsia" w:eastAsiaTheme="minorEastAsia" w:cs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eastAsia" w:asciiTheme="minorEastAsia" w:hAnsiTheme="minorEastAsia" w:eastAsiaTheme="minorEastAsia" w:cs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39"/>
              <w:spacing w:before="21" w:line="278" w:lineRule="auto"/>
              <w:ind w:left="115" w:leftChars="0" w:right="99" w:rightChars="0"/>
              <w:jc w:val="center"/>
              <w:rPr>
                <w:rFonts w:hint="eastAsia" w:asciiTheme="minorEastAsia" w:hAnsiTheme="minorEastAsia" w:eastAsiaTheme="minorEastAsia" w:cs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39"/>
              <w:spacing w:before="151"/>
              <w:jc w:val="center"/>
              <w:rPr>
                <w:rFonts w:hint="eastAsia" w:asciiTheme="minorEastAsia" w:hAnsiTheme="minorEastAsia" w:eastAsiaTheme="minorEastAsia" w:cs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eastAsia" w:asciiTheme="minorEastAsia" w:hAnsiTheme="minorEastAsia" w:eastAsiaTheme="minorEastAsia" w:cstheme="minorEastAsia"/>
                <w:b/>
                <w:color w:val="auto"/>
                <w:highlight w:val="none"/>
              </w:rPr>
            </w:pPr>
          </w:p>
        </w:tc>
      </w:tr>
    </w:tbl>
    <w:p>
      <w:pPr>
        <w:rPr>
          <w:rFonts w:hint="eastAsia" w:asciiTheme="minorEastAsia" w:hAnsiTheme="minorEastAsia" w:eastAsiaTheme="minorEastAsia" w:cstheme="minorEastAsia"/>
          <w:color w:val="auto"/>
          <w:highlight w:val="none"/>
        </w:rPr>
        <w:sectPr>
          <w:pgSz w:w="11906" w:h="16838"/>
          <w:pgMar w:top="1134" w:right="1134" w:bottom="1134" w:left="1587" w:header="567" w:footer="737" w:gutter="0"/>
          <w:pgNumType w:fmt="decimal"/>
          <w:cols w:space="720" w:num="1"/>
          <w:docGrid w:linePitch="312" w:charSpace="0"/>
        </w:sectPr>
      </w:pPr>
    </w:p>
    <w:p>
      <w:pPr>
        <w:pStyle w:val="8"/>
        <w:pageBreakBefore/>
        <w:rPr>
          <w:rFonts w:hint="eastAsia" w:asciiTheme="minorEastAsia" w:hAnsiTheme="minorEastAsia" w:eastAsiaTheme="minorEastAsia" w:cs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60" w:name="_Toc14556"/>
      <w:bookmarkStart w:id="461" w:name="_Toc17720"/>
      <w:bookmarkStart w:id="462" w:name="_Toc4234"/>
      <w:r>
        <w:rPr>
          <w:rFonts w:hint="eastAsia" w:asciiTheme="minorEastAsia" w:hAnsiTheme="minorEastAsia" w:eastAsiaTheme="minorEastAsia" w:cstheme="minorEastAsia"/>
          <w:b w:val="0"/>
          <w:bCs/>
          <w:color w:val="auto"/>
          <w:sz w:val="52"/>
          <w:highlight w:val="none"/>
        </w:rPr>
        <w:fldChar w:fldCharType="begin"/>
      </w:r>
      <w:r>
        <w:rPr>
          <w:rFonts w:hint="eastAsia" w:asciiTheme="minorEastAsia" w:hAnsiTheme="minorEastAsia" w:eastAsiaTheme="minorEastAsia" w:cstheme="minorEastAsia"/>
          <w:b w:val="0"/>
          <w:bCs/>
          <w:color w:val="auto"/>
          <w:sz w:val="52"/>
          <w:highlight w:val="none"/>
        </w:rPr>
        <w:instrText xml:space="preserve"> HYPERLINK  \l "_投标文件目录" </w:instrText>
      </w:r>
      <w:r>
        <w:rPr>
          <w:rFonts w:hint="eastAsia" w:asciiTheme="minorEastAsia" w:hAnsiTheme="minorEastAsia" w:eastAsiaTheme="minorEastAsia" w:cstheme="minorEastAsia"/>
          <w:b w:val="0"/>
          <w:bCs/>
          <w:color w:val="auto"/>
          <w:sz w:val="52"/>
          <w:highlight w:val="none"/>
        </w:rPr>
        <w:fldChar w:fldCharType="separate"/>
      </w:r>
      <w:bookmarkStart w:id="463" w:name="_Toc259803671"/>
      <w:bookmarkStart w:id="464" w:name="_Toc113157430"/>
      <w:bookmarkStart w:id="465" w:name="_Toc240108118"/>
      <w:bookmarkStart w:id="466" w:name="_Toc419106574"/>
      <w:r>
        <w:rPr>
          <w:rFonts w:hint="eastAsia" w:asciiTheme="minorEastAsia" w:hAnsiTheme="minorEastAsia" w:eastAsiaTheme="minorEastAsia" w:cstheme="minorEastAsia"/>
          <w:b w:val="0"/>
          <w:bCs/>
          <w:color w:val="auto"/>
          <w:sz w:val="52"/>
          <w:highlight w:val="none"/>
        </w:rPr>
        <w:t xml:space="preserve">第三章  </w:t>
      </w:r>
      <w:bookmarkStart w:id="467" w:name="_Hlt113156969"/>
      <w:r>
        <w:rPr>
          <w:rFonts w:hint="eastAsia" w:asciiTheme="minorEastAsia" w:hAnsiTheme="minorEastAsia" w:eastAsiaTheme="minorEastAsia" w:cstheme="minorEastAsia"/>
          <w:b w:val="0"/>
          <w:bCs/>
          <w:color w:val="auto"/>
          <w:sz w:val="52"/>
          <w:highlight w:val="none"/>
        </w:rPr>
        <w:t>商</w:t>
      </w:r>
      <w:bookmarkEnd w:id="467"/>
      <w:r>
        <w:rPr>
          <w:rFonts w:hint="eastAsia" w:asciiTheme="minorEastAsia" w:hAnsiTheme="minorEastAsia" w:eastAsiaTheme="minorEastAsia" w:cstheme="minorEastAsia"/>
          <w:b w:val="0"/>
          <w:bCs/>
          <w:color w:val="auto"/>
          <w:sz w:val="52"/>
          <w:highlight w:val="none"/>
        </w:rPr>
        <w:t>务部</w:t>
      </w:r>
      <w:bookmarkStart w:id="468" w:name="_Hlt112738997"/>
      <w:r>
        <w:rPr>
          <w:rFonts w:hint="eastAsia" w:asciiTheme="minorEastAsia" w:hAnsiTheme="minorEastAsia" w:eastAsiaTheme="minorEastAsia" w:cstheme="minorEastAsia"/>
          <w:b w:val="0"/>
          <w:bCs/>
          <w:color w:val="auto"/>
          <w:sz w:val="52"/>
          <w:highlight w:val="none"/>
        </w:rPr>
        <w:t>分</w:t>
      </w:r>
      <w:bookmarkEnd w:id="463"/>
      <w:bookmarkEnd w:id="464"/>
      <w:bookmarkEnd w:id="465"/>
      <w:bookmarkEnd w:id="466"/>
      <w:bookmarkEnd w:id="468"/>
      <w:r>
        <w:rPr>
          <w:rFonts w:hint="eastAsia" w:asciiTheme="minorEastAsia" w:hAnsiTheme="minorEastAsia" w:eastAsiaTheme="minorEastAsia" w:cstheme="minorEastAsia"/>
          <w:b w:val="0"/>
          <w:bCs/>
          <w:color w:val="auto"/>
          <w:sz w:val="52"/>
          <w:highlight w:val="none"/>
        </w:rPr>
        <w:fldChar w:fldCharType="end"/>
      </w:r>
      <w:bookmarkEnd w:id="460"/>
      <w:bookmarkEnd w:id="461"/>
      <w:bookmarkEnd w:id="462"/>
    </w:p>
    <w:p>
      <w:pPr>
        <w:pStyle w:val="9"/>
        <w:pageBreakBefore/>
        <w:numPr>
          <w:ilvl w:val="0"/>
          <w:numId w:val="29"/>
        </w:numPr>
        <w:spacing w:after="120" w:afterLines="0"/>
        <w:rPr>
          <w:rFonts w:hint="eastAsia" w:asciiTheme="minorEastAsia" w:hAnsiTheme="minorEastAsia" w:eastAsiaTheme="minorEastAsia" w:cstheme="minorEastAsia"/>
          <w:color w:val="auto"/>
          <w:sz w:val="36"/>
          <w:szCs w:val="36"/>
          <w:highlight w:val="none"/>
        </w:rPr>
      </w:pPr>
      <w:bookmarkStart w:id="469" w:name="_商务条款响应表"/>
      <w:bookmarkEnd w:id="469"/>
      <w:bookmarkStart w:id="470" w:name="_企业综合概况"/>
      <w:bookmarkEnd w:id="470"/>
      <w:bookmarkStart w:id="471" w:name="_企业综合概况与计划"/>
      <w:bookmarkEnd w:id="471"/>
      <w:bookmarkStart w:id="472" w:name="_Toc25413"/>
      <w:bookmarkStart w:id="473" w:name="_Toc11846"/>
      <w:bookmarkStart w:id="474" w:name="_Toc31818"/>
      <w:bookmarkStart w:id="475" w:name="_Toc119321155"/>
      <w:bookmarkStart w:id="476" w:name="_Toc108234926"/>
      <w:bookmarkStart w:id="477" w:name="_Toc159385079"/>
      <w:bookmarkStart w:id="478" w:name="_Toc136662944"/>
      <w:bookmarkStart w:id="479" w:name="_Toc136682920"/>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DOCVARIABLE  商务条款响应表开始  \* MERGEFORMAT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fldChar w:fldCharType="end"/>
      </w:r>
      <w:bookmarkStart w:id="480" w:name="_Toc419106575"/>
      <w:r>
        <w:rPr>
          <w:rFonts w:hint="eastAsia" w:asciiTheme="minorEastAsia" w:hAnsiTheme="minorEastAsia" w:eastAsiaTheme="minorEastAsia" w:cstheme="minorEastAsia"/>
          <w:color w:val="auto"/>
          <w:sz w:val="36"/>
          <w:szCs w:val="36"/>
          <w:highlight w:val="none"/>
        </w:rPr>
        <w:t>商务条款响应表</w:t>
      </w:r>
      <w:bookmarkEnd w:id="472"/>
      <w:bookmarkEnd w:id="473"/>
      <w:bookmarkEnd w:id="474"/>
      <w:bookmarkEnd w:id="48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一、商务条款响应情况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同意接受采购方发布的补充通知中各项商务要求（如有）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同意采购方以任何形式对我方提供的商务部分内容的真实性和有效性进行公开审查验证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二、商务条款偏离情况说明（如有）：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eastAsia" w:asciiTheme="minorEastAsia" w:hAnsiTheme="minorEastAsia" w:eastAsiaTheme="minorEastAsia" w:cs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不同意公开的商务部分内容（如有）：</w:t>
            </w:r>
          </w:p>
        </w:tc>
      </w:tr>
    </w:tbl>
    <w:p>
      <w:pPr>
        <w:rPr>
          <w:rFonts w:hint="eastAsia" w:asciiTheme="minorEastAsia" w:hAnsiTheme="minorEastAsia" w:eastAsiaTheme="minorEastAsia" w:cstheme="minorEastAsia"/>
          <w:b/>
          <w:color w:val="auto"/>
          <w:highlight w:val="none"/>
        </w:rPr>
      </w:pPr>
    </w:p>
    <w:p>
      <w:pPr>
        <w:rPr>
          <w:rFonts w:hint="eastAsia" w:asciiTheme="minorEastAsia" w:hAnsiTheme="minorEastAsia" w:eastAsiaTheme="minorEastAsia" w:cstheme="minorEastAsia"/>
          <w:color w:val="auto"/>
          <w:highlight w:val="none"/>
        </w:rPr>
      </w:pPr>
    </w:p>
    <w:p>
      <w:pPr>
        <w:ind w:left="840" w:hanging="840" w:hanging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填表要求：</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1、响应栏内空白及打“√”表示完全响应；打“×”视为偏离，请在“商务条款偏离情况说明”栏中扼要说明偏离情况。</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2、本文件中有“★”标注项为不可负偏离(劣于)的重要项。</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3、若上述商务条款内容与“采购项目商务要求”列述不一致时，均以“采购项目商务要求”详细内容为准。</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4、本表内容不得擅自删改。</w:t>
      </w:r>
    </w:p>
    <w:p>
      <w:pPr>
        <w:rPr>
          <w:rFonts w:hint="eastAsia" w:asciiTheme="minorEastAsia" w:hAnsiTheme="minorEastAsia" w:eastAsiaTheme="minorEastAsia" w:cstheme="minorEastAsia"/>
          <w:color w:val="auto"/>
          <w:highlight w:val="none"/>
        </w:rPr>
      </w:pPr>
    </w:p>
    <w:p>
      <w:pPr>
        <w:spacing w:line="48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供应商名称：</w:t>
      </w:r>
      <w:r>
        <w:rPr>
          <w:rFonts w:hint="eastAsia" w:asciiTheme="minorEastAsia" w:hAnsiTheme="minorEastAsia" w:eastAsiaTheme="minorEastAsia" w:cstheme="minorEastAsia"/>
          <w:b/>
          <w:color w:val="auto"/>
          <w:sz w:val="24"/>
          <w:szCs w:val="24"/>
          <w:highlight w:val="none"/>
          <w:u w:val="single"/>
        </w:rPr>
        <w:t xml:space="preserve">        （全称）           </w:t>
      </w:r>
      <w:r>
        <w:rPr>
          <w:rFonts w:hint="eastAsia" w:asciiTheme="minorEastAsia" w:hAnsiTheme="minorEastAsia" w:eastAsiaTheme="minorEastAsia" w:cstheme="minorEastAsia"/>
          <w:b/>
          <w:color w:val="auto"/>
          <w:sz w:val="24"/>
          <w:szCs w:val="24"/>
          <w:highlight w:val="none"/>
        </w:rPr>
        <w:t xml:space="preserve"> （公章）</w:t>
      </w:r>
    </w:p>
    <w:p>
      <w:pPr>
        <w:pStyle w:val="9"/>
        <w:pageBreakBefore/>
        <w:numPr>
          <w:ilvl w:val="0"/>
          <w:numId w:val="29"/>
        </w:numPr>
        <w:spacing w:after="120" w:afterLines="0"/>
        <w:rPr>
          <w:rFonts w:hint="eastAsia" w:asciiTheme="minorEastAsia" w:hAnsiTheme="minorEastAsia" w:eastAsiaTheme="minorEastAsia" w:cstheme="minorEastAsia"/>
          <w:color w:val="auto"/>
          <w:sz w:val="36"/>
          <w:szCs w:val="36"/>
          <w:highlight w:val="none"/>
        </w:rPr>
      </w:pPr>
      <w:bookmarkStart w:id="481" w:name="_企业综合概况与实施方案"/>
      <w:bookmarkEnd w:id="481"/>
      <w:bookmarkStart w:id="482" w:name="_Toc23310"/>
      <w:bookmarkStart w:id="483" w:name="_Toc18968"/>
      <w:bookmarkStart w:id="484" w:name="_Toc31651"/>
      <w:bookmarkStart w:id="485" w:name="_Toc419106576"/>
      <w:r>
        <w:rPr>
          <w:rFonts w:hint="eastAsia" w:asciiTheme="minorEastAsia" w:hAnsiTheme="minorEastAsia" w:eastAsiaTheme="minorEastAsia" w:cstheme="minorEastAsia"/>
          <w:color w:val="auto"/>
          <w:sz w:val="36"/>
          <w:szCs w:val="36"/>
          <w:highlight w:val="none"/>
        </w:rPr>
        <w:t>综合概况</w:t>
      </w:r>
      <w:bookmarkEnd w:id="475"/>
      <w:bookmarkEnd w:id="476"/>
      <w:bookmarkEnd w:id="477"/>
      <w:bookmarkEnd w:id="478"/>
      <w:bookmarkEnd w:id="479"/>
      <w:bookmarkEnd w:id="482"/>
      <w:bookmarkEnd w:id="483"/>
      <w:bookmarkEnd w:id="484"/>
      <w:bookmarkEnd w:id="485"/>
    </w:p>
    <w:p>
      <w:pPr>
        <w:pStyle w:val="38"/>
        <w:rPr>
          <w:rFonts w:hint="eastAsia" w:asciiTheme="minorEastAsia" w:hAnsiTheme="minorEastAsia" w:eastAsiaTheme="minorEastAsia" w:cstheme="minorEastAsia"/>
          <w:color w:val="auto"/>
          <w:sz w:val="32"/>
          <w:szCs w:val="32"/>
          <w:highlight w:val="none"/>
        </w:rPr>
      </w:pPr>
    </w:p>
    <w:p>
      <w:pPr>
        <w:numPr>
          <w:ilvl w:val="0"/>
          <w:numId w:val="31"/>
        </w:numPr>
        <w:tabs>
          <w:tab w:val="left" w:pos="540"/>
        </w:tabs>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基本概况（如有，非实质性响应要求）</w:t>
      </w:r>
    </w:p>
    <w:p>
      <w:pPr>
        <w:numPr>
          <w:ilvl w:val="1"/>
          <w:numId w:val="31"/>
        </w:num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文字描述主要内容</w:t>
      </w:r>
    </w:p>
    <w:p>
      <w:pPr>
        <w:numPr>
          <w:ilvl w:val="0"/>
          <w:numId w:val="32"/>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单位性质；发展历程；经营规模及服务理念。</w:t>
      </w:r>
    </w:p>
    <w:p>
      <w:pPr>
        <w:numPr>
          <w:ilvl w:val="0"/>
          <w:numId w:val="32"/>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主营产品专业服务优势和特点。</w:t>
      </w:r>
    </w:p>
    <w:p>
      <w:pPr>
        <w:numPr>
          <w:ilvl w:val="0"/>
          <w:numId w:val="32"/>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专业能力和服务力量配置等。</w:t>
      </w:r>
    </w:p>
    <w:p>
      <w:pPr>
        <w:numPr>
          <w:ilvl w:val="1"/>
          <w:numId w:val="31"/>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插图反映主要内容</w:t>
      </w:r>
    </w:p>
    <w:p>
      <w:pPr>
        <w:numPr>
          <w:ilvl w:val="0"/>
          <w:numId w:val="32"/>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形象与实力性质：经营场所内外貌；员工精神面貌等。</w:t>
      </w:r>
    </w:p>
    <w:p>
      <w:pPr>
        <w:numPr>
          <w:ilvl w:val="0"/>
          <w:numId w:val="32"/>
        </w:num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目前经营主要产品介绍、单位荣誉、服务等级证书等。</w:t>
      </w:r>
    </w:p>
    <w:p>
      <w:pPr>
        <w:numPr>
          <w:ilvl w:val="0"/>
          <w:numId w:val="33"/>
        </w:numPr>
        <w:tabs>
          <w:tab w:val="left" w:pos="540"/>
        </w:tabs>
        <w:spacing w:line="360" w:lineRule="auto"/>
        <w:rPr>
          <w:rFonts w:hint="eastAsia" w:asciiTheme="minorEastAsia" w:hAnsiTheme="minorEastAsia" w:eastAsiaTheme="minorEastAsia" w:cstheme="minorEastAsia"/>
          <w:b/>
          <w:color w:val="auto"/>
          <w:sz w:val="32"/>
          <w:szCs w:val="32"/>
          <w:highlight w:val="none"/>
        </w:rPr>
        <w:sectPr>
          <w:pgSz w:w="11906" w:h="16838"/>
          <w:pgMar w:top="1134" w:right="1134" w:bottom="1134" w:left="1587" w:header="567" w:footer="737" w:gutter="0"/>
          <w:pgNumType w:fmt="decimal"/>
          <w:cols w:space="720" w:num="1"/>
          <w:docGrid w:linePitch="312" w:charSpace="0"/>
        </w:sectPr>
      </w:pPr>
      <w:bookmarkStart w:id="486" w:name="_同类项目业绩介绍_1"/>
      <w:bookmarkEnd w:id="486"/>
    </w:p>
    <w:p>
      <w:pPr>
        <w:numPr>
          <w:ilvl w:val="0"/>
          <w:numId w:val="31"/>
        </w:numPr>
        <w:tabs>
          <w:tab w:val="left" w:pos="540"/>
        </w:tabs>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企业资质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348"/>
        <w:gridCol w:w="3112"/>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tabs>
                <w:tab w:val="left" w:pos="540"/>
              </w:tabs>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序号</w:t>
            </w:r>
          </w:p>
        </w:tc>
        <w:tc>
          <w:tcPr>
            <w:tcW w:w="33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tabs>
                <w:tab w:val="left" w:pos="540"/>
              </w:tabs>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资质名称/荣誉证书</w:t>
            </w:r>
          </w:p>
        </w:tc>
        <w:tc>
          <w:tcPr>
            <w:tcW w:w="311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tabs>
                <w:tab w:val="left" w:pos="540"/>
              </w:tabs>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发证机构</w:t>
            </w:r>
          </w:p>
        </w:tc>
        <w:tc>
          <w:tcPr>
            <w:tcW w:w="185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tabs>
                <w:tab w:val="left" w:pos="540"/>
              </w:tabs>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numPr>
                <w:ilvl w:val="0"/>
                <w:numId w:val="34"/>
              </w:numPr>
              <w:tabs>
                <w:tab w:val="left" w:pos="199"/>
              </w:tabs>
              <w:jc w:val="center"/>
              <w:rPr>
                <w:rFonts w:hint="eastAsia" w:asciiTheme="minorEastAsia" w:hAnsiTheme="minorEastAsia" w:eastAsiaTheme="minorEastAsia" w:cstheme="minorEastAsia"/>
                <w:color w:val="auto"/>
                <w:highlight w:val="none"/>
              </w:rPr>
            </w:pPr>
          </w:p>
        </w:tc>
        <w:tc>
          <w:tcPr>
            <w:tcW w:w="3348"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eastAsia" w:asciiTheme="minorEastAsia" w:hAnsiTheme="minorEastAsia" w:eastAsiaTheme="minorEastAsia" w:cstheme="minorEastAsia"/>
                <w:color w:val="auto"/>
                <w:highlight w:val="none"/>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eastAsia" w:asciiTheme="minorEastAsia" w:hAnsiTheme="minorEastAsia" w:eastAsiaTheme="minorEastAsia" w:cstheme="minorEastAsia"/>
                <w:color w:val="auto"/>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numPr>
                <w:ilvl w:val="0"/>
                <w:numId w:val="34"/>
              </w:numPr>
              <w:tabs>
                <w:tab w:val="left" w:pos="199"/>
              </w:tabs>
              <w:jc w:val="center"/>
              <w:rPr>
                <w:rFonts w:hint="eastAsia" w:asciiTheme="minorEastAsia" w:hAnsiTheme="minorEastAsia" w:eastAsiaTheme="minorEastAsia" w:cstheme="minorEastAsia"/>
                <w:color w:val="auto"/>
                <w:highlight w:val="none"/>
              </w:rPr>
            </w:pPr>
          </w:p>
        </w:tc>
        <w:tc>
          <w:tcPr>
            <w:tcW w:w="3348"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eastAsia" w:asciiTheme="minorEastAsia" w:hAnsiTheme="minorEastAsia" w:eastAsiaTheme="minorEastAsia" w:cstheme="minorEastAsia"/>
                <w:color w:val="auto"/>
                <w:highlight w:val="none"/>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eastAsia" w:asciiTheme="minorEastAsia" w:hAnsiTheme="minorEastAsia" w:eastAsiaTheme="minorEastAsia" w:cstheme="minorEastAsia"/>
                <w:color w:val="auto"/>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numPr>
                <w:ilvl w:val="0"/>
                <w:numId w:val="34"/>
              </w:numPr>
              <w:tabs>
                <w:tab w:val="left" w:pos="199"/>
              </w:tabs>
              <w:jc w:val="center"/>
              <w:rPr>
                <w:rFonts w:hint="eastAsia" w:asciiTheme="minorEastAsia" w:hAnsiTheme="minorEastAsia" w:eastAsiaTheme="minorEastAsia" w:cstheme="minorEastAsia"/>
                <w:color w:val="auto"/>
                <w:highlight w:val="none"/>
              </w:rPr>
            </w:pPr>
          </w:p>
        </w:tc>
        <w:tc>
          <w:tcPr>
            <w:tcW w:w="3348"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eastAsia" w:asciiTheme="minorEastAsia" w:hAnsiTheme="minorEastAsia" w:eastAsiaTheme="minorEastAsia" w:cstheme="minorEastAsia"/>
                <w:color w:val="auto"/>
                <w:highlight w:val="none"/>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eastAsia" w:asciiTheme="minorEastAsia" w:hAnsiTheme="minorEastAsia" w:eastAsiaTheme="minorEastAsia" w:cstheme="minorEastAsia"/>
                <w:color w:val="auto"/>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jc w:val="center"/>
              <w:rPr>
                <w:rFonts w:hint="eastAsia" w:asciiTheme="minorEastAsia" w:hAnsiTheme="minorEastAsia" w:eastAsiaTheme="minorEastAsia" w:cstheme="minorEastAsia"/>
                <w:color w:val="auto"/>
                <w:highlight w:val="none"/>
              </w:rPr>
            </w:pPr>
          </w:p>
        </w:tc>
      </w:tr>
    </w:tbl>
    <w:p>
      <w:pPr>
        <w:pStyle w:val="2"/>
        <w:rPr>
          <w:rFonts w:hint="eastAsia"/>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u w:val="double"/>
        </w:rPr>
        <w:t>本表附件</w:t>
      </w:r>
      <w:r>
        <w:rPr>
          <w:rFonts w:hint="eastAsia" w:asciiTheme="minorEastAsia" w:hAnsiTheme="minorEastAsia" w:eastAsiaTheme="minorEastAsia" w:cstheme="minorEastAsia"/>
          <w:b/>
          <w:color w:val="auto"/>
          <w:highlight w:val="none"/>
        </w:rPr>
        <w:t>：提供</w:t>
      </w:r>
      <w:r>
        <w:rPr>
          <w:rFonts w:hint="eastAsia" w:asciiTheme="minorEastAsia" w:hAnsiTheme="minorEastAsia" w:eastAsiaTheme="minorEastAsia" w:cstheme="minorEastAsia"/>
          <w:b/>
          <w:bCs/>
          <w:color w:val="auto"/>
          <w:highlight w:val="none"/>
        </w:rPr>
        <w:t>评分标准中“商务部分”要求的证明资料</w:t>
      </w:r>
      <w:bookmarkStart w:id="487" w:name="_拟任本项目管理及技术人员情况"/>
      <w:bookmarkEnd w:id="487"/>
      <w:bookmarkStart w:id="488" w:name="_商务条款响应表_2"/>
      <w:bookmarkEnd w:id="488"/>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b/>
          <w:bCs/>
          <w:color w:val="auto"/>
          <w:highlight w:val="none"/>
        </w:rPr>
      </w:pPr>
    </w:p>
    <w:p>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24"/>
          <w:szCs w:val="24"/>
          <w:highlight w:val="none"/>
        </w:rPr>
        <w:t>响应供应商名称：</w:t>
      </w:r>
      <w:r>
        <w:rPr>
          <w:rFonts w:hint="eastAsia" w:asciiTheme="minorEastAsia" w:hAnsiTheme="minorEastAsia" w:eastAsiaTheme="minorEastAsia" w:cstheme="minorEastAsia"/>
          <w:b/>
          <w:color w:val="auto"/>
          <w:sz w:val="24"/>
          <w:szCs w:val="24"/>
          <w:highlight w:val="none"/>
          <w:u w:val="single"/>
        </w:rPr>
        <w:t xml:space="preserve">        （全称）           </w:t>
      </w:r>
      <w:r>
        <w:rPr>
          <w:rFonts w:hint="eastAsia" w:asciiTheme="minorEastAsia" w:hAnsiTheme="minorEastAsia" w:eastAsiaTheme="minorEastAsia" w:cstheme="minorEastAsia"/>
          <w:b/>
          <w:color w:val="auto"/>
          <w:sz w:val="24"/>
          <w:szCs w:val="24"/>
          <w:highlight w:val="none"/>
        </w:rPr>
        <w:t>（公章）</w:t>
      </w:r>
    </w:p>
    <w:p>
      <w:pPr>
        <w:ind w:left="420" w:hanging="420"/>
        <w:rPr>
          <w:rFonts w:hint="eastAsia" w:asciiTheme="minorEastAsia" w:hAnsiTheme="minorEastAsia" w:eastAsiaTheme="minorEastAsia" w:cstheme="minorEastAsia"/>
          <w:color w:val="auto"/>
          <w:sz w:val="32"/>
          <w:szCs w:val="32"/>
          <w:highlight w:val="none"/>
        </w:rPr>
        <w:sectPr>
          <w:pgSz w:w="11906" w:h="16838"/>
          <w:pgMar w:top="1134" w:right="1134" w:bottom="1134" w:left="1587" w:header="567" w:footer="737" w:gutter="0"/>
          <w:pgNumType w:fmt="decimal"/>
          <w:cols w:space="720" w:num="1"/>
          <w:docGrid w:linePitch="312" w:charSpace="0"/>
        </w:sectPr>
      </w:pPr>
    </w:p>
    <w:p>
      <w:pPr>
        <w:numPr>
          <w:ilvl w:val="0"/>
          <w:numId w:val="31"/>
        </w:numPr>
        <w:tabs>
          <w:tab w:val="left" w:pos="540"/>
        </w:tabs>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同类</w:t>
      </w:r>
      <w:r>
        <w:rPr>
          <w:rFonts w:hint="eastAsia" w:asciiTheme="minorEastAsia" w:hAnsiTheme="minorEastAsia" w:eastAsiaTheme="minorEastAsia" w:cstheme="minorEastAsia"/>
          <w:b/>
          <w:color w:val="auto"/>
          <w:sz w:val="32"/>
          <w:szCs w:val="32"/>
          <w:highlight w:val="none"/>
          <w:lang w:val="en-US" w:eastAsia="zh-CN"/>
        </w:rPr>
        <w:t>业绩</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62"/>
        <w:gridCol w:w="3047"/>
        <w:gridCol w:w="1139"/>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20" w:type="dxa"/>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序号</w:t>
            </w:r>
          </w:p>
        </w:tc>
        <w:tc>
          <w:tcPr>
            <w:tcW w:w="2462" w:type="dxa"/>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客户单位名称</w:t>
            </w:r>
          </w:p>
        </w:tc>
        <w:tc>
          <w:tcPr>
            <w:tcW w:w="3047" w:type="dxa"/>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项目内容及合同金额（万元）</w:t>
            </w:r>
          </w:p>
        </w:tc>
        <w:tc>
          <w:tcPr>
            <w:tcW w:w="1139" w:type="dxa"/>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完成时间</w:t>
            </w:r>
          </w:p>
        </w:tc>
        <w:tc>
          <w:tcPr>
            <w:tcW w:w="1712" w:type="dxa"/>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35"/>
              </w:numPr>
              <w:tabs>
                <w:tab w:val="left" w:pos="180"/>
              </w:tabs>
              <w:jc w:val="center"/>
              <w:rPr>
                <w:rFonts w:hint="eastAsia" w:asciiTheme="minorEastAsia" w:hAnsiTheme="minorEastAsia" w:eastAsiaTheme="minorEastAsia" w:cstheme="minorEastAsia"/>
                <w:color w:val="auto"/>
                <w:highlight w:val="none"/>
              </w:rPr>
            </w:pPr>
          </w:p>
        </w:tc>
        <w:tc>
          <w:tcPr>
            <w:tcW w:w="2462" w:type="dxa"/>
            <w:noWrap w:val="0"/>
            <w:vAlign w:val="center"/>
          </w:tcPr>
          <w:p>
            <w:pPr>
              <w:jc w:val="center"/>
              <w:rPr>
                <w:rFonts w:hint="eastAsia" w:asciiTheme="minorEastAsia" w:hAnsiTheme="minorEastAsia" w:eastAsiaTheme="minorEastAsia" w:cstheme="minorEastAsia"/>
                <w:color w:val="auto"/>
                <w:highlight w:val="none"/>
              </w:rPr>
            </w:pPr>
          </w:p>
        </w:tc>
        <w:tc>
          <w:tcPr>
            <w:tcW w:w="3047" w:type="dxa"/>
            <w:noWrap w:val="0"/>
            <w:vAlign w:val="center"/>
          </w:tcPr>
          <w:p>
            <w:pPr>
              <w:jc w:val="center"/>
              <w:rPr>
                <w:rFonts w:hint="eastAsia" w:asciiTheme="minorEastAsia" w:hAnsiTheme="minorEastAsia" w:eastAsiaTheme="minorEastAsia" w:cstheme="minorEastAsia"/>
                <w:color w:val="auto"/>
                <w:highlight w:val="none"/>
              </w:rPr>
            </w:pPr>
          </w:p>
        </w:tc>
        <w:tc>
          <w:tcPr>
            <w:tcW w:w="1139" w:type="dxa"/>
            <w:noWrap w:val="0"/>
            <w:vAlign w:val="center"/>
          </w:tcPr>
          <w:p>
            <w:pPr>
              <w:jc w:val="center"/>
              <w:rPr>
                <w:rFonts w:hint="eastAsia" w:asciiTheme="minorEastAsia" w:hAnsiTheme="minorEastAsia" w:eastAsiaTheme="minorEastAsia" w:cstheme="minorEastAsia"/>
                <w:color w:val="auto"/>
                <w:highlight w:val="none"/>
              </w:rPr>
            </w:pPr>
          </w:p>
        </w:tc>
        <w:tc>
          <w:tcPr>
            <w:tcW w:w="1712" w:type="dxa"/>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35"/>
              </w:numPr>
              <w:tabs>
                <w:tab w:val="left" w:pos="180"/>
              </w:tabs>
              <w:jc w:val="center"/>
              <w:rPr>
                <w:rFonts w:hint="eastAsia" w:asciiTheme="minorEastAsia" w:hAnsiTheme="minorEastAsia" w:eastAsiaTheme="minorEastAsia" w:cstheme="minorEastAsia"/>
                <w:color w:val="auto"/>
                <w:highlight w:val="none"/>
              </w:rPr>
            </w:pPr>
          </w:p>
        </w:tc>
        <w:tc>
          <w:tcPr>
            <w:tcW w:w="2462" w:type="dxa"/>
            <w:noWrap w:val="0"/>
            <w:vAlign w:val="center"/>
          </w:tcPr>
          <w:p>
            <w:pPr>
              <w:jc w:val="center"/>
              <w:rPr>
                <w:rFonts w:hint="eastAsia" w:asciiTheme="minorEastAsia" w:hAnsiTheme="minorEastAsia" w:eastAsiaTheme="minorEastAsia" w:cstheme="minorEastAsia"/>
                <w:color w:val="auto"/>
                <w:highlight w:val="none"/>
              </w:rPr>
            </w:pPr>
          </w:p>
        </w:tc>
        <w:tc>
          <w:tcPr>
            <w:tcW w:w="3047" w:type="dxa"/>
            <w:noWrap w:val="0"/>
            <w:vAlign w:val="center"/>
          </w:tcPr>
          <w:p>
            <w:pPr>
              <w:jc w:val="center"/>
              <w:rPr>
                <w:rFonts w:hint="eastAsia" w:asciiTheme="minorEastAsia" w:hAnsiTheme="minorEastAsia" w:eastAsiaTheme="minorEastAsia" w:cstheme="minorEastAsia"/>
                <w:color w:val="auto"/>
                <w:highlight w:val="none"/>
              </w:rPr>
            </w:pPr>
          </w:p>
        </w:tc>
        <w:tc>
          <w:tcPr>
            <w:tcW w:w="1139" w:type="dxa"/>
            <w:noWrap w:val="0"/>
            <w:vAlign w:val="center"/>
          </w:tcPr>
          <w:p>
            <w:pPr>
              <w:pStyle w:val="32"/>
              <w:rPr>
                <w:rFonts w:hint="eastAsia" w:asciiTheme="minorEastAsia" w:hAnsiTheme="minorEastAsia" w:eastAsiaTheme="minorEastAsia" w:cstheme="minorEastAsia"/>
                <w:color w:val="auto"/>
                <w:highlight w:val="none"/>
              </w:rPr>
            </w:pPr>
          </w:p>
        </w:tc>
        <w:tc>
          <w:tcPr>
            <w:tcW w:w="1712" w:type="dxa"/>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35"/>
              </w:numPr>
              <w:tabs>
                <w:tab w:val="left" w:pos="180"/>
              </w:tabs>
              <w:jc w:val="center"/>
              <w:rPr>
                <w:rFonts w:hint="eastAsia" w:asciiTheme="minorEastAsia" w:hAnsiTheme="minorEastAsia" w:eastAsiaTheme="minorEastAsia" w:cstheme="minorEastAsia"/>
                <w:color w:val="auto"/>
                <w:highlight w:val="none"/>
              </w:rPr>
            </w:pPr>
          </w:p>
        </w:tc>
        <w:tc>
          <w:tcPr>
            <w:tcW w:w="2462" w:type="dxa"/>
            <w:noWrap w:val="0"/>
            <w:vAlign w:val="center"/>
          </w:tcPr>
          <w:p>
            <w:pPr>
              <w:jc w:val="center"/>
              <w:rPr>
                <w:rFonts w:hint="eastAsia" w:asciiTheme="minorEastAsia" w:hAnsiTheme="minorEastAsia" w:eastAsiaTheme="minorEastAsia" w:cstheme="minorEastAsia"/>
                <w:color w:val="auto"/>
                <w:highlight w:val="none"/>
              </w:rPr>
            </w:pPr>
          </w:p>
        </w:tc>
        <w:tc>
          <w:tcPr>
            <w:tcW w:w="3047" w:type="dxa"/>
            <w:noWrap w:val="0"/>
            <w:vAlign w:val="center"/>
          </w:tcPr>
          <w:p>
            <w:pPr>
              <w:jc w:val="center"/>
              <w:rPr>
                <w:rFonts w:hint="eastAsia" w:asciiTheme="minorEastAsia" w:hAnsiTheme="minorEastAsia" w:eastAsiaTheme="minorEastAsia" w:cstheme="minorEastAsia"/>
                <w:color w:val="auto"/>
                <w:highlight w:val="none"/>
              </w:rPr>
            </w:pPr>
          </w:p>
        </w:tc>
        <w:tc>
          <w:tcPr>
            <w:tcW w:w="1139" w:type="dxa"/>
            <w:noWrap w:val="0"/>
            <w:vAlign w:val="center"/>
          </w:tcPr>
          <w:p>
            <w:pPr>
              <w:jc w:val="center"/>
              <w:rPr>
                <w:rFonts w:hint="eastAsia" w:asciiTheme="minorEastAsia" w:hAnsiTheme="minorEastAsia" w:eastAsiaTheme="minorEastAsia" w:cstheme="minorEastAsia"/>
                <w:color w:val="auto"/>
                <w:highlight w:val="none"/>
              </w:rPr>
            </w:pPr>
          </w:p>
        </w:tc>
        <w:tc>
          <w:tcPr>
            <w:tcW w:w="1712" w:type="dxa"/>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35"/>
              </w:numPr>
              <w:tabs>
                <w:tab w:val="left" w:pos="180"/>
              </w:tabs>
              <w:jc w:val="center"/>
              <w:rPr>
                <w:rFonts w:hint="eastAsia" w:asciiTheme="minorEastAsia" w:hAnsiTheme="minorEastAsia" w:eastAsiaTheme="minorEastAsia" w:cstheme="minorEastAsia"/>
                <w:color w:val="auto"/>
                <w:highlight w:val="none"/>
              </w:rPr>
            </w:pPr>
          </w:p>
        </w:tc>
        <w:tc>
          <w:tcPr>
            <w:tcW w:w="2462" w:type="dxa"/>
            <w:noWrap w:val="0"/>
            <w:vAlign w:val="center"/>
          </w:tcPr>
          <w:p>
            <w:pPr>
              <w:jc w:val="center"/>
              <w:rPr>
                <w:rFonts w:hint="eastAsia" w:asciiTheme="minorEastAsia" w:hAnsiTheme="minorEastAsia" w:eastAsiaTheme="minorEastAsia" w:cstheme="minorEastAsia"/>
                <w:color w:val="auto"/>
                <w:highlight w:val="none"/>
              </w:rPr>
            </w:pPr>
          </w:p>
        </w:tc>
        <w:tc>
          <w:tcPr>
            <w:tcW w:w="3047" w:type="dxa"/>
            <w:noWrap w:val="0"/>
            <w:vAlign w:val="center"/>
          </w:tcPr>
          <w:p>
            <w:pPr>
              <w:jc w:val="center"/>
              <w:rPr>
                <w:rFonts w:hint="eastAsia" w:asciiTheme="minorEastAsia" w:hAnsiTheme="minorEastAsia" w:eastAsiaTheme="minorEastAsia" w:cstheme="minorEastAsia"/>
                <w:color w:val="auto"/>
                <w:highlight w:val="none"/>
              </w:rPr>
            </w:pPr>
          </w:p>
        </w:tc>
        <w:tc>
          <w:tcPr>
            <w:tcW w:w="1139" w:type="dxa"/>
            <w:noWrap w:val="0"/>
            <w:vAlign w:val="center"/>
          </w:tcPr>
          <w:p>
            <w:pPr>
              <w:jc w:val="center"/>
              <w:rPr>
                <w:rFonts w:hint="eastAsia" w:asciiTheme="minorEastAsia" w:hAnsiTheme="minorEastAsia" w:eastAsiaTheme="minorEastAsia" w:cstheme="minorEastAsia"/>
                <w:color w:val="auto"/>
                <w:highlight w:val="none"/>
              </w:rPr>
            </w:pPr>
          </w:p>
        </w:tc>
        <w:tc>
          <w:tcPr>
            <w:tcW w:w="1712" w:type="dxa"/>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35"/>
              </w:numPr>
              <w:tabs>
                <w:tab w:val="left" w:pos="180"/>
              </w:tabs>
              <w:jc w:val="center"/>
              <w:rPr>
                <w:rFonts w:hint="eastAsia" w:asciiTheme="minorEastAsia" w:hAnsiTheme="minorEastAsia" w:eastAsiaTheme="minorEastAsia" w:cstheme="minorEastAsia"/>
                <w:color w:val="auto"/>
                <w:highlight w:val="none"/>
              </w:rPr>
            </w:pPr>
          </w:p>
        </w:tc>
        <w:tc>
          <w:tcPr>
            <w:tcW w:w="2462" w:type="dxa"/>
            <w:noWrap w:val="0"/>
            <w:vAlign w:val="center"/>
          </w:tcPr>
          <w:p>
            <w:pPr>
              <w:jc w:val="center"/>
              <w:rPr>
                <w:rFonts w:hint="eastAsia" w:asciiTheme="minorEastAsia" w:hAnsiTheme="minorEastAsia" w:eastAsiaTheme="minorEastAsia" w:cstheme="minorEastAsia"/>
                <w:color w:val="auto"/>
                <w:highlight w:val="none"/>
              </w:rPr>
            </w:pPr>
          </w:p>
        </w:tc>
        <w:tc>
          <w:tcPr>
            <w:tcW w:w="3047" w:type="dxa"/>
            <w:noWrap w:val="0"/>
            <w:vAlign w:val="center"/>
          </w:tcPr>
          <w:p>
            <w:pPr>
              <w:jc w:val="center"/>
              <w:rPr>
                <w:rFonts w:hint="eastAsia" w:asciiTheme="minorEastAsia" w:hAnsiTheme="minorEastAsia" w:eastAsiaTheme="minorEastAsia" w:cstheme="minorEastAsia"/>
                <w:color w:val="auto"/>
                <w:highlight w:val="none"/>
              </w:rPr>
            </w:pPr>
          </w:p>
        </w:tc>
        <w:tc>
          <w:tcPr>
            <w:tcW w:w="1139" w:type="dxa"/>
            <w:noWrap w:val="0"/>
            <w:vAlign w:val="center"/>
          </w:tcPr>
          <w:p>
            <w:pPr>
              <w:jc w:val="center"/>
              <w:rPr>
                <w:rFonts w:hint="eastAsia" w:asciiTheme="minorEastAsia" w:hAnsiTheme="minorEastAsia" w:eastAsiaTheme="minorEastAsia" w:cstheme="minorEastAsia"/>
                <w:color w:val="auto"/>
                <w:highlight w:val="none"/>
              </w:rPr>
            </w:pPr>
          </w:p>
        </w:tc>
        <w:tc>
          <w:tcPr>
            <w:tcW w:w="1712" w:type="dxa"/>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35"/>
              </w:numPr>
              <w:tabs>
                <w:tab w:val="left" w:pos="180"/>
              </w:tabs>
              <w:jc w:val="center"/>
              <w:rPr>
                <w:rFonts w:hint="eastAsia" w:asciiTheme="minorEastAsia" w:hAnsiTheme="minorEastAsia" w:eastAsiaTheme="minorEastAsia" w:cstheme="minorEastAsia"/>
                <w:color w:val="auto"/>
                <w:highlight w:val="none"/>
              </w:rPr>
            </w:pPr>
          </w:p>
        </w:tc>
        <w:tc>
          <w:tcPr>
            <w:tcW w:w="2462" w:type="dxa"/>
            <w:noWrap w:val="0"/>
            <w:vAlign w:val="center"/>
          </w:tcPr>
          <w:p>
            <w:pPr>
              <w:jc w:val="center"/>
              <w:rPr>
                <w:rFonts w:hint="eastAsia" w:asciiTheme="minorEastAsia" w:hAnsiTheme="minorEastAsia" w:eastAsiaTheme="minorEastAsia" w:cstheme="minorEastAsia"/>
                <w:color w:val="auto"/>
                <w:highlight w:val="none"/>
              </w:rPr>
            </w:pPr>
          </w:p>
        </w:tc>
        <w:tc>
          <w:tcPr>
            <w:tcW w:w="3047" w:type="dxa"/>
            <w:noWrap w:val="0"/>
            <w:vAlign w:val="center"/>
          </w:tcPr>
          <w:p>
            <w:pPr>
              <w:jc w:val="center"/>
              <w:rPr>
                <w:rFonts w:hint="eastAsia" w:asciiTheme="minorEastAsia" w:hAnsiTheme="minorEastAsia" w:eastAsiaTheme="minorEastAsia" w:cstheme="minorEastAsia"/>
                <w:color w:val="auto"/>
                <w:highlight w:val="none"/>
              </w:rPr>
            </w:pPr>
          </w:p>
        </w:tc>
        <w:tc>
          <w:tcPr>
            <w:tcW w:w="1139" w:type="dxa"/>
            <w:noWrap w:val="0"/>
            <w:vAlign w:val="center"/>
          </w:tcPr>
          <w:p>
            <w:pPr>
              <w:jc w:val="center"/>
              <w:rPr>
                <w:rFonts w:hint="eastAsia" w:asciiTheme="minorEastAsia" w:hAnsiTheme="minorEastAsia" w:eastAsiaTheme="minorEastAsia" w:cstheme="minorEastAsia"/>
                <w:color w:val="auto"/>
                <w:highlight w:val="none"/>
              </w:rPr>
            </w:pPr>
          </w:p>
        </w:tc>
        <w:tc>
          <w:tcPr>
            <w:tcW w:w="1712" w:type="dxa"/>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080" w:type="dxa"/>
            <w:gridSpan w:val="5"/>
            <w:noWrap w:val="0"/>
            <w:vAlign w:val="center"/>
          </w:tcPr>
          <w:p>
            <w:pPr>
              <w:jc w:val="center"/>
              <w:rPr>
                <w:rFonts w:hint="eastAsia" w:asciiTheme="minorEastAsia" w:hAnsiTheme="minorEastAsia" w:eastAsiaTheme="minorEastAsia" w:cstheme="minorEastAsia"/>
                <w:b/>
                <w:color w:val="auto"/>
                <w:highlight w:val="none"/>
              </w:rPr>
            </w:pPr>
          </w:p>
        </w:tc>
      </w:tr>
    </w:tbl>
    <w:p>
      <w:pPr>
        <w:pStyle w:val="2"/>
        <w:rPr>
          <w:rFonts w:hint="eastAsia"/>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numPr>
          <w:ilvl w:val="0"/>
          <w:numId w:val="31"/>
        </w:numPr>
        <w:tabs>
          <w:tab w:val="left" w:pos="540"/>
        </w:tabs>
        <w:spacing w:line="360" w:lineRule="auto"/>
        <w:rPr>
          <w:rFonts w:hint="default" w:asciiTheme="minorEastAsia" w:hAnsiTheme="minorEastAsia" w:eastAsiaTheme="minorEastAsia" w:cstheme="minorEastAsia"/>
          <w:b/>
          <w:color w:val="auto"/>
          <w:sz w:val="32"/>
          <w:szCs w:val="32"/>
          <w:highlight w:val="none"/>
          <w:lang w:val="en-US"/>
        </w:rPr>
      </w:pPr>
      <w:r>
        <w:rPr>
          <w:rFonts w:hint="eastAsia" w:asciiTheme="minorEastAsia" w:hAnsiTheme="minorEastAsia" w:eastAsiaTheme="minorEastAsia" w:cstheme="minorEastAsia"/>
          <w:b/>
          <w:color w:val="auto"/>
          <w:sz w:val="32"/>
          <w:szCs w:val="32"/>
          <w:highlight w:val="none"/>
          <w:lang w:val="en-US" w:eastAsia="zh-CN"/>
        </w:rPr>
        <w:t>拟派本项目的技术人员</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50"/>
        <w:gridCol w:w="1071"/>
        <w:gridCol w:w="904"/>
        <w:gridCol w:w="2790"/>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tblHeader/>
          <w:jc w:val="center"/>
        </w:trPr>
        <w:tc>
          <w:tcPr>
            <w:tcW w:w="1135"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拟任分工</w:t>
            </w:r>
          </w:p>
        </w:tc>
        <w:tc>
          <w:tcPr>
            <w:tcW w:w="1450"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姓名</w:t>
            </w:r>
          </w:p>
        </w:tc>
        <w:tc>
          <w:tcPr>
            <w:tcW w:w="1071"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在本单位工作时间</w:t>
            </w:r>
          </w:p>
        </w:tc>
        <w:tc>
          <w:tcPr>
            <w:tcW w:w="904" w:type="dxa"/>
            <w:tcBorders>
              <w:top w:val="single" w:color="auto" w:sz="4" w:space="0"/>
              <w:left w:val="single" w:color="auto" w:sz="4" w:space="0"/>
              <w:bottom w:val="nil"/>
              <w:right w:val="single" w:color="auto" w:sz="4" w:space="0"/>
            </w:tcBorders>
            <w:shd w:val="clear" w:color="auto" w:fill="F3F3F3"/>
            <w:noWrap w:val="0"/>
            <w:vAlign w:val="center"/>
          </w:tcPr>
          <w:p>
            <w:pPr>
              <w:ind w:firstLine="12"/>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专业</w:t>
            </w:r>
          </w:p>
          <w:p>
            <w:pPr>
              <w:ind w:firstLine="12"/>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工龄</w:t>
            </w:r>
          </w:p>
        </w:tc>
        <w:tc>
          <w:tcPr>
            <w:tcW w:w="2790" w:type="dxa"/>
            <w:tcBorders>
              <w:top w:val="single" w:color="auto" w:sz="4" w:space="0"/>
              <w:left w:val="single" w:color="auto" w:sz="4" w:space="0"/>
              <w:bottom w:val="nil"/>
            </w:tcBorders>
            <w:shd w:val="clear" w:color="auto" w:fill="F3F3F3"/>
            <w:noWrap w:val="0"/>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获得的专业技术</w:t>
            </w:r>
          </w:p>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资格证或技术培训等级证</w:t>
            </w:r>
          </w:p>
        </w:tc>
        <w:tc>
          <w:tcPr>
            <w:tcW w:w="1853" w:type="dxa"/>
            <w:tcBorders>
              <w:top w:val="single" w:color="auto" w:sz="4" w:space="0"/>
              <w:bottom w:val="nil"/>
              <w:right w:val="single" w:color="auto" w:sz="4" w:space="0"/>
            </w:tcBorders>
            <w:shd w:val="clear" w:color="auto" w:fill="F3F3F3"/>
            <w:noWrap w:val="0"/>
            <w:vAlign w:val="center"/>
          </w:tcPr>
          <w:p>
            <w:pPr>
              <w:ind w:firstLine="12"/>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联系电话</w:t>
            </w:r>
          </w:p>
          <w:p>
            <w:pPr>
              <w:ind w:firstLine="12"/>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tcBorders>
              <w:top w:val="single" w:color="auto" w:sz="4" w:space="0"/>
              <w:left w:val="single" w:color="auto" w:sz="4" w:space="0"/>
              <w:bottom w:val="nil"/>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项目负责人</w:t>
            </w:r>
          </w:p>
        </w:tc>
        <w:tc>
          <w:tcPr>
            <w:tcW w:w="1450" w:type="dxa"/>
            <w:tcBorders>
              <w:top w:val="single" w:color="auto" w:sz="4" w:space="0"/>
              <w:left w:val="single" w:color="auto" w:sz="4" w:space="0"/>
              <w:bottom w:val="nil"/>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904"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2790" w:type="dxa"/>
            <w:tcBorders>
              <w:top w:val="single" w:color="auto" w:sz="4" w:space="0"/>
              <w:left w:val="single" w:color="auto" w:sz="4" w:space="0"/>
              <w:bottom w:val="nil"/>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top w:val="single" w:color="auto" w:sz="4" w:space="0"/>
              <w:bottom w:val="nil"/>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restart"/>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项目</w:t>
            </w:r>
            <w:r>
              <w:rPr>
                <w:rFonts w:hint="eastAsia" w:asciiTheme="minorEastAsia" w:hAnsiTheme="minorEastAsia" w:eastAsiaTheme="minorEastAsia" w:cstheme="minorEastAsia"/>
                <w:b/>
                <w:color w:val="auto"/>
                <w:highlight w:val="none"/>
              </w:rPr>
              <w:t>人员</w:t>
            </w: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restart"/>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restart"/>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45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071"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904" w:type="dxa"/>
            <w:tcBorders>
              <w:left w:val="single" w:color="auto" w:sz="4" w:space="0"/>
              <w:right w:val="single" w:color="auto" w:sz="4" w:space="0"/>
            </w:tcBorders>
            <w:noWrap w:val="0"/>
            <w:vAlign w:val="center"/>
          </w:tcPr>
          <w:p>
            <w:pPr>
              <w:ind w:firstLine="12"/>
              <w:jc w:val="center"/>
              <w:rPr>
                <w:rFonts w:hint="eastAsia" w:asciiTheme="minorEastAsia" w:hAnsiTheme="minorEastAsia" w:eastAsiaTheme="minorEastAsia" w:cstheme="minorEastAsia"/>
                <w:color w:val="auto"/>
                <w:highlight w:val="none"/>
              </w:rPr>
            </w:pPr>
          </w:p>
        </w:tc>
        <w:tc>
          <w:tcPr>
            <w:tcW w:w="2790" w:type="dxa"/>
            <w:tcBorders>
              <w:lef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c>
          <w:tcPr>
            <w:tcW w:w="1853"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bl>
    <w:p>
      <w:pPr>
        <w:tabs>
          <w:tab w:val="left" w:pos="540"/>
        </w:tabs>
        <w:spacing w:line="360" w:lineRule="auto"/>
        <w:rPr>
          <w:rFonts w:hint="eastAsia" w:asciiTheme="minorEastAsia" w:hAnsiTheme="minorEastAsia" w:eastAsiaTheme="minorEastAsia" w:cstheme="minorEastAsia"/>
          <w:b/>
          <w:color w:val="auto"/>
          <w:sz w:val="18"/>
          <w:szCs w:val="18"/>
          <w:highlight w:val="none"/>
        </w:rPr>
      </w:pPr>
    </w:p>
    <w:p>
      <w:pPr>
        <w:tabs>
          <w:tab w:val="left" w:pos="54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u w:val="double"/>
        </w:rPr>
        <w:t>本表附件</w:t>
      </w:r>
      <w:r>
        <w:rPr>
          <w:rFonts w:hint="eastAsia" w:asciiTheme="minorEastAsia" w:hAnsiTheme="minorEastAsia" w:eastAsiaTheme="minorEastAsia" w:cstheme="minorEastAsia"/>
          <w:b/>
          <w:color w:val="auto"/>
          <w:highlight w:val="none"/>
        </w:rPr>
        <w:t>：提供</w:t>
      </w:r>
      <w:r>
        <w:rPr>
          <w:rFonts w:hint="eastAsia" w:asciiTheme="minorEastAsia" w:hAnsiTheme="minorEastAsia" w:eastAsiaTheme="minorEastAsia" w:cstheme="minorEastAsia"/>
          <w:b/>
          <w:bCs/>
          <w:color w:val="auto"/>
          <w:highlight w:val="none"/>
        </w:rPr>
        <w:t>评分标准中“</w:t>
      </w:r>
      <w:r>
        <w:rPr>
          <w:rFonts w:hint="eastAsia" w:asciiTheme="minorEastAsia" w:hAnsiTheme="minorEastAsia" w:eastAsiaTheme="minorEastAsia" w:cstheme="minorEastAsia"/>
          <w:b/>
          <w:bCs/>
          <w:color w:val="auto"/>
          <w:highlight w:val="none"/>
          <w:lang w:eastAsia="zh-CN"/>
        </w:rPr>
        <w:t>商务</w:t>
      </w:r>
      <w:r>
        <w:rPr>
          <w:rFonts w:hint="eastAsia" w:asciiTheme="minorEastAsia" w:hAnsiTheme="minorEastAsia" w:eastAsiaTheme="minorEastAsia" w:cstheme="minorEastAsia"/>
          <w:b/>
          <w:bCs/>
          <w:color w:val="auto"/>
          <w:highlight w:val="none"/>
        </w:rPr>
        <w:t>部分”要求的证明资料</w:t>
      </w:r>
    </w:p>
    <w:p>
      <w:pPr>
        <w:tabs>
          <w:tab w:val="left" w:pos="540"/>
        </w:tabs>
        <w:spacing w:line="360" w:lineRule="auto"/>
        <w:rPr>
          <w:rFonts w:hint="eastAsia" w:asciiTheme="minorEastAsia" w:hAnsiTheme="minorEastAsia" w:eastAsiaTheme="minorEastAsia" w:cstheme="minorEastAsia"/>
          <w:b/>
          <w:color w:val="auto"/>
          <w:highlight w:val="none"/>
        </w:rPr>
      </w:pPr>
    </w:p>
    <w:p>
      <w:pPr>
        <w:tabs>
          <w:tab w:val="left" w:pos="540"/>
        </w:tabs>
        <w:spacing w:line="360" w:lineRule="auto"/>
        <w:rPr>
          <w:rFonts w:hint="eastAsia" w:asciiTheme="minorEastAsia" w:hAnsiTheme="minorEastAsia" w:eastAsiaTheme="minorEastAsia" w:cstheme="minorEastAsia"/>
          <w:b/>
          <w:color w:val="auto"/>
          <w:highlight w:val="none"/>
        </w:rPr>
      </w:pPr>
    </w:p>
    <w:p>
      <w:pPr>
        <w:numPr>
          <w:ilvl w:val="0"/>
          <w:numId w:val="31"/>
        </w:numPr>
        <w:tabs>
          <w:tab w:val="left" w:pos="540"/>
        </w:tabs>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其它重要事项说明及承诺</w:t>
      </w:r>
    </w:p>
    <w:p>
      <w:pPr>
        <w:tabs>
          <w:tab w:val="left" w:pos="540"/>
        </w:tabs>
        <w:spacing w:line="360" w:lineRule="auto"/>
        <w:rPr>
          <w:rFonts w:hint="eastAsia" w:asciiTheme="minorEastAsia" w:hAnsiTheme="minorEastAsia" w:eastAsiaTheme="minorEastAsia" w:cstheme="minorEastAsia"/>
          <w:color w:val="auto"/>
          <w:highlight w:val="none"/>
        </w:rPr>
        <w:sectPr>
          <w:pgSz w:w="11906" w:h="16838"/>
          <w:pgMar w:top="1134" w:right="1134" w:bottom="1134" w:left="1587" w:header="567" w:footer="737" w:gutter="0"/>
          <w:pgNumType w:fmt="decimal"/>
          <w:cols w:space="720" w:num="1"/>
          <w:docGrid w:linePitch="312" w:charSpace="0"/>
        </w:sectPr>
      </w:pPr>
      <w:r>
        <w:rPr>
          <w:rFonts w:hint="eastAsia" w:asciiTheme="minorEastAsia" w:hAnsiTheme="minorEastAsia" w:eastAsiaTheme="minorEastAsia" w:cstheme="minorEastAsia"/>
          <w:color w:val="auto"/>
          <w:highlight w:val="none"/>
        </w:rPr>
        <w:t>（内容包括但不限于：需要向磋商小组如实告知的重要事项、重要补充承诺等</w:t>
      </w:r>
      <w:bookmarkStart w:id="489" w:name="_投标报价汇总表"/>
      <w:bookmarkEnd w:id="489"/>
    </w:p>
    <w:p>
      <w:pPr>
        <w:pStyle w:val="9"/>
        <w:pageBreakBefore/>
        <w:spacing w:after="120" w:afterLines="0"/>
        <w:ind w:left="0"/>
        <w:rPr>
          <w:rFonts w:hint="eastAsia" w:asciiTheme="minorEastAsia" w:hAnsiTheme="minorEastAsia" w:eastAsiaTheme="minorEastAsia" w:cstheme="minorEastAsia"/>
          <w:color w:val="auto"/>
          <w:sz w:val="36"/>
          <w:szCs w:val="36"/>
          <w:highlight w:val="none"/>
        </w:rPr>
      </w:pPr>
      <w:bookmarkStart w:id="490" w:name="_投标报价汇总表_1"/>
      <w:bookmarkEnd w:id="490"/>
      <w:bookmarkStart w:id="491" w:name="_Toc13487"/>
      <w:bookmarkStart w:id="492" w:name="_Toc14294"/>
      <w:bookmarkStart w:id="493" w:name="_Toc10979"/>
      <w:r>
        <w:rPr>
          <w:rFonts w:hint="eastAsia" w:asciiTheme="minorEastAsia" w:hAnsiTheme="minorEastAsia" w:eastAsiaTheme="minorEastAsia" w:cstheme="minorEastAsia"/>
          <w:color w:val="auto"/>
          <w:sz w:val="36"/>
          <w:szCs w:val="36"/>
          <w:highlight w:val="none"/>
          <w:lang w:val="en-US"/>
        </w:rPr>
        <w:t>3.</w:t>
      </w:r>
      <w:r>
        <w:rPr>
          <w:rFonts w:hint="eastAsia" w:asciiTheme="minorEastAsia" w:hAnsiTheme="minorEastAsia" w:eastAsiaTheme="minorEastAsia" w:cstheme="minorEastAsia"/>
          <w:color w:val="auto"/>
          <w:sz w:val="36"/>
          <w:szCs w:val="36"/>
          <w:highlight w:val="none"/>
          <w:lang w:val="en-US" w:eastAsia="zh-CN"/>
        </w:rPr>
        <w:t>3</w:t>
      </w:r>
      <w:r>
        <w:rPr>
          <w:rFonts w:hint="eastAsia" w:asciiTheme="minorEastAsia" w:hAnsiTheme="minorEastAsia" w:eastAsiaTheme="minorEastAsia" w:cstheme="minorEastAsia"/>
          <w:color w:val="auto"/>
          <w:sz w:val="36"/>
          <w:szCs w:val="36"/>
          <w:highlight w:val="none"/>
          <w:lang w:val="en-US"/>
        </w:rPr>
        <w:t xml:space="preserve"> </w:t>
      </w:r>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DOCVARIABLE  报价一览表开始  \* MERGEFORMAT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fldChar w:fldCharType="end"/>
      </w:r>
      <w:bookmarkStart w:id="494" w:name="_Toc159385082"/>
      <w:bookmarkStart w:id="495" w:name="_Toc419106577"/>
      <w:r>
        <w:rPr>
          <w:rFonts w:hint="eastAsia" w:asciiTheme="minorEastAsia" w:hAnsiTheme="minorEastAsia" w:eastAsiaTheme="minorEastAsia" w:cstheme="minorEastAsia"/>
          <w:color w:val="auto"/>
          <w:sz w:val="36"/>
          <w:szCs w:val="36"/>
          <w:highlight w:val="none"/>
        </w:rPr>
        <w:t>报价汇总表</w:t>
      </w:r>
      <w:bookmarkEnd w:id="491"/>
      <w:bookmarkEnd w:id="492"/>
      <w:bookmarkEnd w:id="493"/>
      <w:bookmarkEnd w:id="494"/>
      <w:bookmarkEnd w:id="495"/>
    </w:p>
    <w:p>
      <w:pPr>
        <w:spacing w:line="360" w:lineRule="auto"/>
        <w:jc w:val="left"/>
        <w:rPr>
          <w:rFonts w:hint="eastAsia" w:asciiTheme="minorEastAsia" w:hAnsiTheme="minorEastAsia" w:eastAsiaTheme="minorEastAsia" w:cstheme="minorEastAsia"/>
          <w:bCs/>
          <w:color w:val="auto"/>
          <w:highlight w:val="none"/>
        </w:rPr>
      </w:pPr>
    </w:p>
    <w:p>
      <w:pPr>
        <w:tabs>
          <w:tab w:val="left" w:pos="5940"/>
        </w:tabs>
        <w:spacing w:line="360" w:lineRule="auto"/>
        <w:jc w:val="lef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项目名称：</w:t>
      </w:r>
      <w:r>
        <w:rPr>
          <w:rFonts w:hint="eastAsia" w:asciiTheme="minorEastAsia" w:hAnsiTheme="minorEastAsia" w:eastAsiaTheme="minorEastAsia" w:cstheme="minorEastAsia"/>
          <w:bCs/>
          <w:color w:val="auto"/>
          <w:highlight w:val="none"/>
          <w:lang w:eastAsia="zh-CN"/>
        </w:rPr>
        <w:t>2021年省、市在佛山挂牌的火灾高风险区域整治工作实地检查评估项目</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项目名称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Cs/>
          <w:color w:val="auto"/>
          <w:highlight w:val="none"/>
        </w:rPr>
        <w:t xml:space="preserve">        </w:t>
      </w:r>
    </w:p>
    <w:p>
      <w:pPr>
        <w:tabs>
          <w:tab w:val="left" w:pos="5940"/>
        </w:tabs>
        <w:spacing w:line="360" w:lineRule="auto"/>
        <w:jc w:val="left"/>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bCs/>
          <w:color w:val="auto"/>
          <w:highlight w:val="none"/>
        </w:rPr>
        <w:t>项目编号：</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采购编号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highlight w:val="none"/>
          <w:lang w:eastAsia="zh-CN"/>
        </w:rPr>
        <w:t>FEGD-ZT211328</w:t>
      </w:r>
    </w:p>
    <w:p>
      <w:pPr>
        <w:tabs>
          <w:tab w:val="left" w:pos="5940"/>
        </w:tabs>
        <w:spacing w:line="360" w:lineRule="auto"/>
        <w:jc w:val="left"/>
        <w:rPr>
          <w:rFonts w:hint="eastAsia" w:asciiTheme="minorEastAsia" w:hAnsiTheme="minorEastAsia" w:eastAsiaTheme="minorEastAsia" w:cstheme="minorEastAsia"/>
          <w:bCs/>
          <w:color w:val="auto"/>
          <w:highlight w:val="none"/>
        </w:rPr>
      </w:pPr>
    </w:p>
    <w:tbl>
      <w:tblPr>
        <w:tblStyle w:val="24"/>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PrEx>
        <w:trPr>
          <w:cantSplit/>
          <w:trHeight w:val="687" w:hRule="atLeast"/>
        </w:trPr>
        <w:tc>
          <w:tcPr>
            <w:tcW w:w="2268" w:type="dxa"/>
            <w:tcBorders>
              <w:top w:val="single" w:color="auto" w:sz="2" w:space="0"/>
              <w:left w:val="threeDEngrave" w:color="auto" w:sz="6" w:space="0"/>
              <w:bottom w:val="single" w:color="auto" w:sz="2" w:space="0"/>
              <w:right w:val="single" w:color="auto" w:sz="2" w:space="0"/>
            </w:tcBorders>
            <w:shd w:val="clear" w:color="auto" w:fill="F3F3F3"/>
            <w:noWrap w:val="0"/>
            <w:vAlign w:val="center"/>
          </w:tcPr>
          <w:p>
            <w:pPr>
              <w:pStyle w:val="35"/>
              <w:spacing w:before="0"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color w:val="auto"/>
                <w:spacing w:val="0"/>
                <w:kern w:val="2"/>
                <w:szCs w:val="24"/>
                <w:highlight w:val="none"/>
              </w:rPr>
              <w:t>报价分项</w:t>
            </w:r>
          </w:p>
        </w:tc>
        <w:tc>
          <w:tcPr>
            <w:tcW w:w="6995" w:type="dxa"/>
            <w:tcBorders>
              <w:top w:val="single" w:color="auto" w:sz="2" w:space="0"/>
              <w:left w:val="single" w:color="auto" w:sz="2" w:space="0"/>
              <w:bottom w:val="single" w:color="auto" w:sz="2" w:space="0"/>
              <w:right w:val="threeDEngrave" w:color="auto" w:sz="6" w:space="0"/>
            </w:tcBorders>
            <w:shd w:val="clear" w:color="auto" w:fill="F3F3F3"/>
            <w:noWrap w:val="0"/>
            <w:vAlign w:val="center"/>
          </w:tcPr>
          <w:p>
            <w:pPr>
              <w:pStyle w:val="35"/>
              <w:spacing w:before="0"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color w:val="auto"/>
                <w:spacing w:val="0"/>
                <w:kern w:val="2"/>
                <w:szCs w:val="24"/>
                <w:highlight w:val="none"/>
              </w:rPr>
              <w:t>合计（元）</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vMerge w:val="restart"/>
            <w:tcBorders>
              <w:top w:val="single" w:color="auto" w:sz="2" w:space="0"/>
              <w:left w:val="threeDEngrave" w:color="auto" w:sz="6" w:space="0"/>
              <w:right w:val="single" w:color="auto" w:sz="2" w:space="0"/>
            </w:tcBorders>
            <w:noWrap w:val="0"/>
            <w:vAlign w:val="center"/>
          </w:tcPr>
          <w:p>
            <w:pPr>
              <w:pStyle w:val="35"/>
              <w:keepNext w:val="0"/>
              <w:adjustRightInd/>
              <w:spacing w:before="0" w:after="0" w:line="360" w:lineRule="auto"/>
              <w:jc w:val="both"/>
              <w:textAlignment w:val="auto"/>
              <w:rPr>
                <w:rFonts w:hint="eastAsia" w:asciiTheme="minorEastAsia" w:hAnsiTheme="minorEastAsia" w:eastAsiaTheme="minorEastAsia" w:cstheme="minorEastAsia"/>
                <w:snapToGrid/>
                <w:color w:val="auto"/>
                <w:spacing w:val="0"/>
                <w:kern w:val="2"/>
                <w:szCs w:val="24"/>
                <w:highlight w:val="none"/>
              </w:rPr>
            </w:pPr>
            <w:r>
              <w:rPr>
                <w:rFonts w:hint="eastAsia" w:asciiTheme="minorEastAsia" w:hAnsiTheme="minorEastAsia" w:eastAsiaTheme="minorEastAsia" w:cstheme="minorEastAsia"/>
                <w:snapToGrid/>
                <w:color w:val="auto"/>
                <w:spacing w:val="0"/>
                <w:kern w:val="2"/>
                <w:szCs w:val="24"/>
                <w:highlight w:val="none"/>
              </w:rPr>
              <w:t xml:space="preserve">    报价合计</w:t>
            </w:r>
          </w:p>
        </w:tc>
        <w:tc>
          <w:tcPr>
            <w:tcW w:w="6995" w:type="dxa"/>
            <w:tcBorders>
              <w:top w:val="single" w:color="auto" w:sz="2" w:space="0"/>
              <w:left w:val="single" w:color="auto" w:sz="2" w:space="0"/>
              <w:bottom w:val="single" w:color="auto" w:sz="2" w:space="0"/>
              <w:right w:val="threeDEngrave" w:color="auto" w:sz="6"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vMerge w:val="continue"/>
            <w:tcBorders>
              <w:left w:val="threeDEngrave" w:color="auto" w:sz="6" w:space="0"/>
              <w:bottom w:val="single" w:color="auto" w:sz="2" w:space="0"/>
              <w:right w:val="single" w:color="auto" w:sz="2" w:space="0"/>
            </w:tcBorders>
            <w:noWrap w:val="0"/>
            <w:vAlign w:val="center"/>
          </w:tcPr>
          <w:p>
            <w:pPr>
              <w:pStyle w:val="35"/>
              <w:keepNext w:val="0"/>
              <w:adjustRightInd/>
              <w:spacing w:before="0" w:after="0" w:line="360" w:lineRule="auto"/>
              <w:textAlignment w:val="auto"/>
              <w:rPr>
                <w:rFonts w:hint="eastAsia" w:asciiTheme="minorEastAsia" w:hAnsiTheme="minorEastAsia" w:eastAsiaTheme="minorEastAsia" w:cstheme="minorEastAsia"/>
                <w:snapToGrid/>
                <w:color w:val="auto"/>
                <w:spacing w:val="0"/>
                <w:kern w:val="2"/>
                <w:szCs w:val="24"/>
                <w:highlight w:val="none"/>
              </w:rPr>
            </w:pPr>
          </w:p>
        </w:tc>
        <w:tc>
          <w:tcPr>
            <w:tcW w:w="6995" w:type="dxa"/>
            <w:tcBorders>
              <w:top w:val="single" w:color="auto" w:sz="2" w:space="0"/>
              <w:left w:val="single" w:color="auto" w:sz="2" w:space="0"/>
              <w:bottom w:val="single" w:color="auto" w:sz="2" w:space="0"/>
              <w:right w:val="threeDEngrave" w:color="auto" w:sz="6"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小写：</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396" w:hRule="atLeast"/>
        </w:trPr>
        <w:tc>
          <w:tcPr>
            <w:tcW w:w="9263" w:type="dxa"/>
            <w:gridSpan w:val="2"/>
            <w:tcBorders>
              <w:top w:val="single" w:color="auto" w:sz="2" w:space="0"/>
              <w:left w:val="threeDEngrave" w:color="auto" w:sz="6" w:space="0"/>
              <w:bottom w:val="threeDEngrave" w:color="auto" w:sz="6" w:space="0"/>
              <w:right w:val="threeDEngrave" w:color="auto" w:sz="6"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备注：1、详细内容见《报价清单明细表》。</w:t>
            </w:r>
          </w:p>
        </w:tc>
      </w:tr>
    </w:tbl>
    <w:p>
      <w:pPr>
        <w:spacing w:line="360" w:lineRule="auto"/>
        <w:jc w:val="left"/>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填表要求：</w:t>
      </w:r>
    </w:p>
    <w:p>
      <w:pPr>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1、总价应为各分项报价之和，响应文件差异修正准则参见响应文件说明。</w:t>
      </w:r>
    </w:p>
    <w:p>
      <w:pPr>
        <w:ind w:left="735" w:leftChars="200" w:hanging="315" w:hanging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2、报价表述限于选用中文大写或阿拉伯数字小写，均已核定准确无误。</w:t>
      </w:r>
    </w:p>
    <w:p>
      <w:pPr>
        <w:spacing w:line="360" w:lineRule="auto"/>
        <w:rPr>
          <w:rFonts w:hint="eastAsia" w:asciiTheme="minorEastAsia" w:hAnsiTheme="minorEastAsia" w:eastAsiaTheme="minorEastAsia" w:cstheme="minorEastAsia"/>
          <w:b/>
          <w:color w:val="auto"/>
          <w:highlight w:val="none"/>
        </w:rPr>
      </w:pPr>
    </w:p>
    <w:p>
      <w:pPr>
        <w:spacing w:line="360" w:lineRule="auto"/>
        <w:rPr>
          <w:rFonts w:hint="eastAsia" w:asciiTheme="minorEastAsia" w:hAnsiTheme="minorEastAsia" w:eastAsiaTheme="minorEastAsia" w:cstheme="minorEastAsia"/>
          <w:b/>
          <w:color w:val="auto"/>
          <w:highlight w:val="none"/>
        </w:rPr>
      </w:pPr>
    </w:p>
    <w:p>
      <w:pPr>
        <w:spacing w:line="480" w:lineRule="auto"/>
        <w:rPr>
          <w:rFonts w:hint="eastAsia" w:asciiTheme="minorEastAsia" w:hAnsiTheme="minorEastAsia" w:eastAsiaTheme="minorEastAsia" w:cstheme="minorEastAsia"/>
          <w:b/>
          <w:color w:val="auto"/>
          <w:highlight w:val="none"/>
        </w:rPr>
      </w:pPr>
    </w:p>
    <w:p>
      <w:pPr>
        <w:spacing w:line="48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供应商名称：</w:t>
      </w:r>
      <w:r>
        <w:rPr>
          <w:rFonts w:hint="eastAsia" w:asciiTheme="minorEastAsia" w:hAnsiTheme="minorEastAsia" w:eastAsiaTheme="minorEastAsia" w:cstheme="minorEastAsia"/>
          <w:b/>
          <w:color w:val="auto"/>
          <w:highlight w:val="none"/>
          <w:u w:val="single"/>
        </w:rPr>
        <w:t xml:space="preserve">      （全称）             </w:t>
      </w:r>
      <w:r>
        <w:rPr>
          <w:rFonts w:hint="eastAsia" w:asciiTheme="minorEastAsia" w:hAnsiTheme="minorEastAsia" w:eastAsiaTheme="minorEastAsia" w:cstheme="minorEastAsia"/>
          <w:b/>
          <w:color w:val="auto"/>
          <w:highlight w:val="none"/>
        </w:rPr>
        <w:t xml:space="preserve"> （公章）</w:t>
      </w:r>
    </w:p>
    <w:p>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授权代表：</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b/>
          <w:color w:val="auto"/>
          <w:highlight w:val="none"/>
        </w:rPr>
        <w:t xml:space="preserve">（亲笔签名）     </w:t>
      </w:r>
    </w:p>
    <w:p>
      <w:pPr>
        <w:spacing w:line="360" w:lineRule="auto"/>
        <w:jc w:val="left"/>
        <w:rPr>
          <w:rFonts w:hint="eastAsia" w:asciiTheme="minorEastAsia" w:hAnsiTheme="minorEastAsia" w:eastAsiaTheme="minorEastAsia" w:cstheme="minorEastAsia"/>
          <w:b/>
          <w:color w:val="auto"/>
          <w:highlight w:val="none"/>
        </w:rPr>
        <w:sectPr>
          <w:pgSz w:w="11906" w:h="16838"/>
          <w:pgMar w:top="1134" w:right="1134" w:bottom="1134" w:left="1587" w:header="567" w:footer="737" w:gutter="0"/>
          <w:pgNumType w:fmt="decimal"/>
          <w:cols w:space="720" w:num="1"/>
          <w:docGrid w:linePitch="312" w:charSpace="0"/>
        </w:sectPr>
      </w:pPr>
      <w:r>
        <w:rPr>
          <w:rFonts w:hint="eastAsia" w:asciiTheme="minorEastAsia" w:hAnsiTheme="minorEastAsia" w:eastAsiaTheme="minorEastAsia" w:cstheme="minorEastAsia"/>
          <w:b/>
          <w:color w:val="auto"/>
          <w:highlight w:val="none"/>
        </w:rPr>
        <w:t>日期：    年    月    日</w:t>
      </w:r>
    </w:p>
    <w:p>
      <w:pPr>
        <w:pStyle w:val="9"/>
        <w:pageBreakBefore/>
        <w:spacing w:after="120" w:afterLines="0"/>
        <w:ind w:left="284"/>
        <w:rPr>
          <w:rFonts w:hint="eastAsia" w:asciiTheme="minorEastAsia" w:hAnsiTheme="minorEastAsia" w:eastAsiaTheme="minorEastAsia" w:cstheme="minorEastAsia"/>
          <w:color w:val="auto"/>
          <w:sz w:val="36"/>
          <w:szCs w:val="36"/>
          <w:highlight w:val="none"/>
        </w:rPr>
      </w:pPr>
      <w:bookmarkStart w:id="496" w:name="_报价清单明细表"/>
      <w:bookmarkEnd w:id="496"/>
      <w:bookmarkStart w:id="497" w:name="_详细配置及工程服务量报价清单"/>
      <w:bookmarkEnd w:id="497"/>
      <w:bookmarkStart w:id="498" w:name="_Toc7995"/>
      <w:bookmarkStart w:id="499" w:name="_Toc16925"/>
      <w:r>
        <w:rPr>
          <w:rFonts w:hint="eastAsia" w:asciiTheme="minorEastAsia" w:hAnsiTheme="minorEastAsia" w:eastAsiaTheme="minorEastAsia" w:cstheme="minorEastAsia"/>
          <w:color w:val="auto"/>
          <w:sz w:val="36"/>
          <w:szCs w:val="36"/>
          <w:highlight w:val="none"/>
          <w:lang w:val="en-US"/>
        </w:rPr>
        <w:t>3.</w:t>
      </w:r>
      <w:r>
        <w:rPr>
          <w:rFonts w:hint="eastAsia" w:asciiTheme="minorEastAsia" w:hAnsiTheme="minorEastAsia" w:eastAsiaTheme="minorEastAsia" w:cstheme="minorEastAsia"/>
          <w:color w:val="auto"/>
          <w:sz w:val="36"/>
          <w:szCs w:val="36"/>
          <w:highlight w:val="none"/>
          <w:lang w:val="en-US" w:eastAsia="zh-CN"/>
        </w:rPr>
        <w:t>4</w:t>
      </w:r>
      <w:r>
        <w:rPr>
          <w:rFonts w:hint="eastAsia" w:asciiTheme="minorEastAsia" w:hAnsiTheme="minorEastAsia" w:eastAsiaTheme="minorEastAsia" w:cstheme="minorEastAsia"/>
          <w:color w:val="auto"/>
          <w:sz w:val="36"/>
          <w:szCs w:val="36"/>
          <w:highlight w:val="none"/>
        </w:rPr>
        <w:t xml:space="preserve"> </w:t>
      </w:r>
      <w:bookmarkStart w:id="500" w:name="_Toc12909"/>
      <w:bookmarkStart w:id="501" w:name="_Toc419106578"/>
      <w:r>
        <w:rPr>
          <w:rFonts w:hint="eastAsia" w:asciiTheme="minorEastAsia" w:hAnsiTheme="minorEastAsia" w:eastAsiaTheme="minorEastAsia" w:cstheme="minorEastAsia"/>
          <w:color w:val="auto"/>
          <w:sz w:val="36"/>
          <w:szCs w:val="36"/>
          <w:highlight w:val="none"/>
        </w:rPr>
        <w:t>报价清单明细表</w:t>
      </w:r>
      <w:bookmarkEnd w:id="498"/>
      <w:bookmarkEnd w:id="499"/>
      <w:bookmarkEnd w:id="500"/>
      <w:bookmarkEnd w:id="501"/>
    </w:p>
    <w:p>
      <w:pPr>
        <w:tabs>
          <w:tab w:val="left" w:pos="9720"/>
        </w:tabs>
        <w:jc w:val="lef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项目名称：</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项目名称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eastAsia="zh-CN"/>
        </w:rPr>
        <w:t>2021年省、市在佛山挂牌的火灾高风险区域整治工作实地检查评估项目</w:t>
      </w:r>
      <w:r>
        <w:rPr>
          <w:rFonts w:hint="eastAsia" w:asciiTheme="minorEastAsia" w:hAnsiTheme="minorEastAsia" w:eastAsiaTheme="minorEastAsia" w:cstheme="minorEastAsia"/>
          <w:bCs/>
          <w:color w:val="auto"/>
          <w:sz w:val="24"/>
          <w:szCs w:val="24"/>
          <w:highlight w:val="none"/>
        </w:rPr>
        <w:t xml:space="preserve">                                       项目编号：</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采购编号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eastAsia="zh-CN"/>
        </w:rPr>
        <w:t>FEGD-ZT211328</w:t>
      </w:r>
    </w:p>
    <w:p>
      <w:pPr>
        <w:tabs>
          <w:tab w:val="left" w:pos="9720"/>
        </w:tabs>
        <w:rPr>
          <w:rFonts w:hint="eastAsia" w:asciiTheme="minorEastAsia" w:hAnsiTheme="minorEastAsia" w:eastAsiaTheme="minorEastAsia" w:cstheme="minorEastAsia"/>
          <w:bCs/>
          <w:color w:val="auto"/>
          <w:sz w:val="24"/>
          <w:szCs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508"/>
        <w:gridCol w:w="4175"/>
        <w:gridCol w:w="1620"/>
        <w:gridCol w:w="1110"/>
        <w:gridCol w:w="1050"/>
        <w:gridCol w:w="1260"/>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751" w:type="dxa"/>
            <w:gridSpan w:val="8"/>
            <w:tcBorders>
              <w:left w:val="threeDEmboss" w:color="auto" w:sz="6" w:space="0"/>
              <w:right w:val="threeDEmboss" w:color="auto" w:sz="6" w:space="0"/>
            </w:tcBorders>
            <w:shd w:val="clear" w:color="auto" w:fill="F3F3F3"/>
            <w:noWrap w:val="0"/>
            <w:vAlign w:val="center"/>
          </w:tcPr>
          <w:p>
            <w:pPr>
              <w:tabs>
                <w:tab w:val="left" w:pos="9585"/>
                <w:tab w:val="left" w:pos="11205"/>
              </w:tabs>
              <w:spacing w:line="360" w:lineRule="auto"/>
              <w:ind w:firstLine="2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noWrap w:val="0"/>
            <w:vAlign w:val="center"/>
          </w:tcPr>
          <w:p>
            <w:pPr>
              <w:spacing w:line="360" w:lineRule="auto"/>
              <w:jc w:val="center"/>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序号</w:t>
            </w:r>
          </w:p>
        </w:tc>
        <w:tc>
          <w:tcPr>
            <w:tcW w:w="2508" w:type="dxa"/>
            <w:noWrap w:val="0"/>
            <w:vAlign w:val="center"/>
          </w:tcPr>
          <w:p>
            <w:pPr>
              <w:spacing w:line="360" w:lineRule="auto"/>
              <w:jc w:val="center"/>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分项名称</w:t>
            </w:r>
          </w:p>
        </w:tc>
        <w:tc>
          <w:tcPr>
            <w:tcW w:w="4175" w:type="dxa"/>
            <w:noWrap w:val="0"/>
            <w:vAlign w:val="center"/>
          </w:tcPr>
          <w:p>
            <w:pPr>
              <w:spacing w:line="360" w:lineRule="auto"/>
              <w:jc w:val="center"/>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具体内容</w:t>
            </w:r>
          </w:p>
        </w:tc>
        <w:tc>
          <w:tcPr>
            <w:tcW w:w="1620" w:type="dxa"/>
            <w:noWrap w:val="0"/>
            <w:vAlign w:val="center"/>
          </w:tcPr>
          <w:p>
            <w:pPr>
              <w:spacing w:line="360" w:lineRule="auto"/>
              <w:jc w:val="center"/>
              <w:rPr>
                <w:rFonts w:hint="eastAsia" w:asciiTheme="minorEastAsia" w:hAnsiTheme="minorEastAsia" w:eastAsiaTheme="minorEastAsia" w:cstheme="minorEastAsia"/>
                <w:b/>
                <w:bCs/>
                <w:color w:val="auto"/>
                <w:sz w:val="18"/>
                <w:highlight w:val="none"/>
              </w:rPr>
            </w:pPr>
            <w:r>
              <w:rPr>
                <w:rFonts w:hint="eastAsia" w:asciiTheme="minorEastAsia" w:hAnsiTheme="minorEastAsia" w:eastAsiaTheme="minorEastAsia" w:cstheme="minorEastAsia"/>
                <w:b/>
                <w:bCs/>
                <w:color w:val="auto"/>
                <w:sz w:val="18"/>
                <w:highlight w:val="none"/>
              </w:rPr>
              <w:t>单位</w:t>
            </w:r>
          </w:p>
        </w:tc>
        <w:tc>
          <w:tcPr>
            <w:tcW w:w="1110" w:type="dxa"/>
            <w:noWrap w:val="0"/>
            <w:vAlign w:val="center"/>
          </w:tcPr>
          <w:p>
            <w:pPr>
              <w:spacing w:line="360" w:lineRule="auto"/>
              <w:jc w:val="center"/>
              <w:rPr>
                <w:rFonts w:hint="eastAsia" w:asciiTheme="minorEastAsia" w:hAnsiTheme="minorEastAsia" w:eastAsiaTheme="minorEastAsia" w:cstheme="minorEastAsia"/>
                <w:b/>
                <w:bCs/>
                <w:color w:val="auto"/>
                <w:sz w:val="18"/>
                <w:highlight w:val="none"/>
              </w:rPr>
            </w:pPr>
            <w:r>
              <w:rPr>
                <w:rFonts w:hint="eastAsia" w:asciiTheme="minorEastAsia" w:hAnsiTheme="minorEastAsia" w:eastAsiaTheme="minorEastAsia" w:cstheme="minorEastAsia"/>
                <w:b/>
                <w:bCs/>
                <w:color w:val="auto"/>
                <w:sz w:val="18"/>
                <w:highlight w:val="none"/>
              </w:rPr>
              <w:t>数量</w:t>
            </w:r>
          </w:p>
        </w:tc>
        <w:tc>
          <w:tcPr>
            <w:tcW w:w="1050" w:type="dxa"/>
            <w:noWrap w:val="0"/>
            <w:vAlign w:val="center"/>
          </w:tcPr>
          <w:p>
            <w:pPr>
              <w:spacing w:line="360" w:lineRule="auto"/>
              <w:jc w:val="center"/>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单价</w:t>
            </w:r>
          </w:p>
        </w:tc>
        <w:tc>
          <w:tcPr>
            <w:tcW w:w="1260" w:type="dxa"/>
            <w:noWrap w:val="0"/>
            <w:vAlign w:val="center"/>
          </w:tcPr>
          <w:p>
            <w:pPr>
              <w:spacing w:line="360" w:lineRule="auto"/>
              <w:ind w:left="-92" w:leftChars="-44"/>
              <w:jc w:val="center"/>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合计（元）</w:t>
            </w:r>
          </w:p>
        </w:tc>
        <w:tc>
          <w:tcPr>
            <w:tcW w:w="2420" w:type="dxa"/>
            <w:tcBorders>
              <w:right w:val="threeDEmboss" w:color="auto" w:sz="6" w:space="0"/>
            </w:tcBorders>
            <w:noWrap w:val="0"/>
            <w:vAlign w:val="center"/>
          </w:tcPr>
          <w:p>
            <w:pPr>
              <w:spacing w:line="360" w:lineRule="auto"/>
              <w:jc w:val="center"/>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noWrap w:val="0"/>
            <w:vAlign w:val="center"/>
          </w:tcPr>
          <w:p>
            <w:pPr>
              <w:numPr>
                <w:ilvl w:val="0"/>
                <w:numId w:val="36"/>
              </w:numPr>
              <w:spacing w:line="360" w:lineRule="auto"/>
              <w:ind w:firstLine="68"/>
              <w:jc w:val="center"/>
              <w:rPr>
                <w:rFonts w:hint="eastAsia" w:asciiTheme="minorEastAsia" w:hAnsiTheme="minorEastAsia" w:eastAsiaTheme="minorEastAsia" w:cstheme="minorEastAsia"/>
                <w:bCs/>
                <w:color w:val="auto"/>
                <w:sz w:val="18"/>
                <w:highlight w:val="none"/>
              </w:rPr>
            </w:pPr>
          </w:p>
        </w:tc>
        <w:tc>
          <w:tcPr>
            <w:tcW w:w="2508" w:type="dxa"/>
            <w:noWrap w:val="0"/>
            <w:vAlign w:val="center"/>
          </w:tcPr>
          <w:p>
            <w:pPr>
              <w:spacing w:line="360" w:lineRule="auto"/>
              <w:rPr>
                <w:rFonts w:hint="eastAsia" w:asciiTheme="minorEastAsia" w:hAnsiTheme="minorEastAsia" w:eastAsiaTheme="minorEastAsia" w:cstheme="minorEastAsia"/>
                <w:color w:val="auto"/>
                <w:sz w:val="18"/>
                <w:highlight w:val="none"/>
              </w:rPr>
            </w:pPr>
          </w:p>
        </w:tc>
        <w:tc>
          <w:tcPr>
            <w:tcW w:w="4175" w:type="dxa"/>
            <w:noWrap w:val="0"/>
            <w:vAlign w:val="center"/>
          </w:tcPr>
          <w:p>
            <w:pPr>
              <w:spacing w:line="360" w:lineRule="auto"/>
              <w:rPr>
                <w:rFonts w:hint="eastAsia" w:asciiTheme="minorEastAsia" w:hAnsiTheme="minorEastAsia" w:eastAsiaTheme="minorEastAsia" w:cstheme="minorEastAsia"/>
                <w:color w:val="auto"/>
                <w:highlight w:val="none"/>
              </w:rPr>
            </w:pPr>
          </w:p>
        </w:tc>
        <w:tc>
          <w:tcPr>
            <w:tcW w:w="1620" w:type="dxa"/>
            <w:noWrap w:val="0"/>
            <w:vAlign w:val="center"/>
          </w:tcPr>
          <w:p>
            <w:pPr>
              <w:spacing w:line="360" w:lineRule="auto"/>
              <w:jc w:val="center"/>
              <w:rPr>
                <w:rFonts w:hint="eastAsia" w:asciiTheme="minorEastAsia" w:hAnsiTheme="minorEastAsia" w:eastAsiaTheme="minorEastAsia" w:cstheme="minorEastAsia"/>
                <w:bCs/>
                <w:color w:val="auto"/>
                <w:sz w:val="18"/>
                <w:highlight w:val="none"/>
              </w:rPr>
            </w:pPr>
          </w:p>
        </w:tc>
        <w:tc>
          <w:tcPr>
            <w:tcW w:w="1110" w:type="dxa"/>
            <w:noWrap w:val="0"/>
            <w:vAlign w:val="center"/>
          </w:tcPr>
          <w:p>
            <w:pPr>
              <w:spacing w:line="360" w:lineRule="auto"/>
              <w:jc w:val="center"/>
              <w:rPr>
                <w:rFonts w:hint="eastAsia" w:asciiTheme="minorEastAsia" w:hAnsiTheme="minorEastAsia" w:eastAsiaTheme="minorEastAsia" w:cstheme="minorEastAsia"/>
                <w:bCs/>
                <w:color w:val="auto"/>
                <w:sz w:val="18"/>
                <w:highlight w:val="none"/>
              </w:rPr>
            </w:pPr>
          </w:p>
        </w:tc>
        <w:tc>
          <w:tcPr>
            <w:tcW w:w="1050" w:type="dxa"/>
            <w:noWrap w:val="0"/>
            <w:vAlign w:val="center"/>
          </w:tcPr>
          <w:p>
            <w:pPr>
              <w:spacing w:line="360" w:lineRule="auto"/>
              <w:jc w:val="right"/>
              <w:rPr>
                <w:rFonts w:hint="eastAsia" w:asciiTheme="minorEastAsia" w:hAnsiTheme="minorEastAsia" w:eastAsiaTheme="minorEastAsia" w:cstheme="minorEastAsia"/>
                <w:bCs/>
                <w:color w:val="auto"/>
                <w:sz w:val="18"/>
                <w:highlight w:val="none"/>
              </w:rPr>
            </w:pPr>
          </w:p>
        </w:tc>
        <w:tc>
          <w:tcPr>
            <w:tcW w:w="1260" w:type="dxa"/>
            <w:noWrap w:val="0"/>
            <w:vAlign w:val="center"/>
          </w:tcPr>
          <w:p>
            <w:pPr>
              <w:spacing w:line="360" w:lineRule="auto"/>
              <w:jc w:val="right"/>
              <w:rPr>
                <w:rFonts w:hint="eastAsia" w:asciiTheme="minorEastAsia" w:hAnsiTheme="minorEastAsia" w:eastAsiaTheme="minorEastAsia" w:cstheme="minorEastAsia"/>
                <w:b/>
                <w:color w:val="auto"/>
                <w:sz w:val="18"/>
                <w:highlight w:val="none"/>
              </w:rPr>
            </w:pPr>
          </w:p>
        </w:tc>
        <w:tc>
          <w:tcPr>
            <w:tcW w:w="2420" w:type="dxa"/>
            <w:tcBorders>
              <w:right w:val="threeDEmboss" w:color="auto" w:sz="6" w:space="0"/>
            </w:tcBorders>
            <w:noWrap w:val="0"/>
            <w:vAlign w:val="center"/>
          </w:tcPr>
          <w:p>
            <w:pPr>
              <w:spacing w:line="360" w:lineRule="auto"/>
              <w:jc w:val="center"/>
              <w:rPr>
                <w:rFonts w:hint="eastAsia" w:asciiTheme="minorEastAsia" w:hAnsiTheme="minorEastAsia" w:eastAsiaTheme="minorEastAsia" w:cstheme="minorEastAsia"/>
                <w:bCs/>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noWrap w:val="0"/>
            <w:vAlign w:val="center"/>
          </w:tcPr>
          <w:p>
            <w:pPr>
              <w:numPr>
                <w:ilvl w:val="0"/>
                <w:numId w:val="36"/>
              </w:numPr>
              <w:spacing w:line="360" w:lineRule="auto"/>
              <w:ind w:firstLine="68"/>
              <w:jc w:val="center"/>
              <w:rPr>
                <w:rFonts w:hint="eastAsia" w:asciiTheme="minorEastAsia" w:hAnsiTheme="minorEastAsia" w:eastAsiaTheme="minorEastAsia" w:cstheme="minorEastAsia"/>
                <w:bCs/>
                <w:color w:val="auto"/>
                <w:sz w:val="18"/>
                <w:highlight w:val="none"/>
              </w:rPr>
            </w:pPr>
          </w:p>
        </w:tc>
        <w:tc>
          <w:tcPr>
            <w:tcW w:w="2508" w:type="dxa"/>
            <w:noWrap w:val="0"/>
            <w:vAlign w:val="center"/>
          </w:tcPr>
          <w:p>
            <w:pPr>
              <w:spacing w:line="360" w:lineRule="auto"/>
              <w:rPr>
                <w:rFonts w:hint="eastAsia" w:asciiTheme="minorEastAsia" w:hAnsiTheme="minorEastAsia" w:eastAsiaTheme="minorEastAsia" w:cstheme="minorEastAsia"/>
                <w:color w:val="auto"/>
                <w:sz w:val="18"/>
                <w:highlight w:val="none"/>
              </w:rPr>
            </w:pPr>
          </w:p>
        </w:tc>
        <w:tc>
          <w:tcPr>
            <w:tcW w:w="4175" w:type="dxa"/>
            <w:noWrap w:val="0"/>
            <w:vAlign w:val="center"/>
          </w:tcPr>
          <w:p>
            <w:pPr>
              <w:spacing w:line="360" w:lineRule="auto"/>
              <w:rPr>
                <w:rFonts w:hint="eastAsia" w:asciiTheme="minorEastAsia" w:hAnsiTheme="minorEastAsia" w:eastAsiaTheme="minorEastAsia" w:cstheme="minorEastAsia"/>
                <w:bCs/>
                <w:color w:val="auto"/>
                <w:sz w:val="18"/>
                <w:highlight w:val="none"/>
              </w:rPr>
            </w:pPr>
          </w:p>
        </w:tc>
        <w:tc>
          <w:tcPr>
            <w:tcW w:w="1620" w:type="dxa"/>
            <w:noWrap w:val="0"/>
            <w:vAlign w:val="center"/>
          </w:tcPr>
          <w:p>
            <w:pPr>
              <w:spacing w:line="360" w:lineRule="auto"/>
              <w:jc w:val="center"/>
              <w:rPr>
                <w:rFonts w:hint="eastAsia" w:asciiTheme="minorEastAsia" w:hAnsiTheme="minorEastAsia" w:eastAsiaTheme="minorEastAsia" w:cstheme="minorEastAsia"/>
                <w:bCs/>
                <w:color w:val="auto"/>
                <w:sz w:val="18"/>
                <w:highlight w:val="none"/>
              </w:rPr>
            </w:pPr>
          </w:p>
        </w:tc>
        <w:tc>
          <w:tcPr>
            <w:tcW w:w="1110" w:type="dxa"/>
            <w:noWrap w:val="0"/>
            <w:vAlign w:val="center"/>
          </w:tcPr>
          <w:p>
            <w:pPr>
              <w:spacing w:line="360" w:lineRule="auto"/>
              <w:jc w:val="center"/>
              <w:rPr>
                <w:rFonts w:hint="eastAsia" w:asciiTheme="minorEastAsia" w:hAnsiTheme="minorEastAsia" w:eastAsiaTheme="minorEastAsia" w:cstheme="minorEastAsia"/>
                <w:bCs/>
                <w:color w:val="auto"/>
                <w:sz w:val="18"/>
                <w:highlight w:val="none"/>
              </w:rPr>
            </w:pPr>
          </w:p>
        </w:tc>
        <w:tc>
          <w:tcPr>
            <w:tcW w:w="1050" w:type="dxa"/>
            <w:noWrap w:val="0"/>
            <w:vAlign w:val="center"/>
          </w:tcPr>
          <w:p>
            <w:pPr>
              <w:spacing w:line="360" w:lineRule="auto"/>
              <w:jc w:val="right"/>
              <w:rPr>
                <w:rFonts w:hint="eastAsia" w:asciiTheme="minorEastAsia" w:hAnsiTheme="minorEastAsia" w:eastAsiaTheme="minorEastAsia" w:cstheme="minorEastAsia"/>
                <w:bCs/>
                <w:color w:val="auto"/>
                <w:sz w:val="18"/>
                <w:highlight w:val="none"/>
              </w:rPr>
            </w:pPr>
          </w:p>
        </w:tc>
        <w:tc>
          <w:tcPr>
            <w:tcW w:w="1260" w:type="dxa"/>
            <w:noWrap w:val="0"/>
            <w:vAlign w:val="center"/>
          </w:tcPr>
          <w:p>
            <w:pPr>
              <w:spacing w:line="360" w:lineRule="auto"/>
              <w:jc w:val="right"/>
              <w:rPr>
                <w:rFonts w:hint="eastAsia" w:asciiTheme="minorEastAsia" w:hAnsiTheme="minorEastAsia" w:eastAsiaTheme="minorEastAsia" w:cstheme="minorEastAsia"/>
                <w:b/>
                <w:color w:val="auto"/>
                <w:sz w:val="18"/>
                <w:highlight w:val="none"/>
              </w:rPr>
            </w:pPr>
          </w:p>
        </w:tc>
        <w:tc>
          <w:tcPr>
            <w:tcW w:w="2420" w:type="dxa"/>
            <w:tcBorders>
              <w:right w:val="threeDEmboss" w:color="auto" w:sz="6" w:space="0"/>
            </w:tcBorders>
            <w:noWrap w:val="0"/>
            <w:vAlign w:val="center"/>
          </w:tcPr>
          <w:p>
            <w:pPr>
              <w:spacing w:line="360" w:lineRule="auto"/>
              <w:jc w:val="center"/>
              <w:rPr>
                <w:rFonts w:hint="eastAsia" w:asciiTheme="minorEastAsia" w:hAnsiTheme="minorEastAsia" w:eastAsiaTheme="minorEastAsia" w:cstheme="minorEastAsia"/>
                <w:bCs/>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08" w:type="dxa"/>
            <w:tcBorders>
              <w:left w:val="threeDEmboss" w:color="auto" w:sz="6" w:space="0"/>
            </w:tcBorders>
            <w:noWrap w:val="0"/>
            <w:vAlign w:val="center"/>
          </w:tcPr>
          <w:p>
            <w:pPr>
              <w:numPr>
                <w:ilvl w:val="0"/>
                <w:numId w:val="36"/>
              </w:numPr>
              <w:spacing w:line="360" w:lineRule="auto"/>
              <w:ind w:firstLine="68"/>
              <w:jc w:val="center"/>
              <w:rPr>
                <w:rFonts w:hint="eastAsia" w:asciiTheme="minorEastAsia" w:hAnsiTheme="minorEastAsia" w:eastAsiaTheme="minorEastAsia" w:cstheme="minorEastAsia"/>
                <w:bCs/>
                <w:color w:val="auto"/>
                <w:sz w:val="18"/>
                <w:highlight w:val="none"/>
              </w:rPr>
            </w:pPr>
          </w:p>
        </w:tc>
        <w:tc>
          <w:tcPr>
            <w:tcW w:w="2508" w:type="dxa"/>
            <w:noWrap w:val="0"/>
            <w:vAlign w:val="center"/>
          </w:tcPr>
          <w:p>
            <w:pPr>
              <w:spacing w:line="360" w:lineRule="auto"/>
              <w:rPr>
                <w:rFonts w:hint="eastAsia" w:asciiTheme="minorEastAsia" w:hAnsiTheme="minorEastAsia" w:eastAsiaTheme="minorEastAsia" w:cstheme="minorEastAsia"/>
                <w:color w:val="auto"/>
                <w:sz w:val="18"/>
                <w:highlight w:val="none"/>
              </w:rPr>
            </w:pPr>
          </w:p>
        </w:tc>
        <w:tc>
          <w:tcPr>
            <w:tcW w:w="4175" w:type="dxa"/>
            <w:noWrap w:val="0"/>
            <w:vAlign w:val="center"/>
          </w:tcPr>
          <w:p>
            <w:pPr>
              <w:spacing w:line="360" w:lineRule="auto"/>
              <w:rPr>
                <w:rFonts w:hint="eastAsia" w:asciiTheme="minorEastAsia" w:hAnsiTheme="minorEastAsia" w:eastAsiaTheme="minorEastAsia" w:cstheme="minorEastAsia"/>
                <w:bCs/>
                <w:color w:val="auto"/>
                <w:sz w:val="18"/>
                <w:highlight w:val="none"/>
              </w:rPr>
            </w:pPr>
          </w:p>
        </w:tc>
        <w:tc>
          <w:tcPr>
            <w:tcW w:w="1620" w:type="dxa"/>
            <w:noWrap w:val="0"/>
            <w:vAlign w:val="center"/>
          </w:tcPr>
          <w:p>
            <w:pPr>
              <w:spacing w:line="360" w:lineRule="auto"/>
              <w:jc w:val="center"/>
              <w:rPr>
                <w:rFonts w:hint="eastAsia" w:asciiTheme="minorEastAsia" w:hAnsiTheme="minorEastAsia" w:eastAsiaTheme="minorEastAsia" w:cstheme="minorEastAsia"/>
                <w:bCs/>
                <w:color w:val="auto"/>
                <w:sz w:val="18"/>
                <w:highlight w:val="none"/>
              </w:rPr>
            </w:pPr>
          </w:p>
        </w:tc>
        <w:tc>
          <w:tcPr>
            <w:tcW w:w="1110" w:type="dxa"/>
            <w:noWrap w:val="0"/>
            <w:vAlign w:val="center"/>
          </w:tcPr>
          <w:p>
            <w:pPr>
              <w:spacing w:line="360" w:lineRule="auto"/>
              <w:jc w:val="center"/>
              <w:rPr>
                <w:rFonts w:hint="eastAsia" w:asciiTheme="minorEastAsia" w:hAnsiTheme="minorEastAsia" w:eastAsiaTheme="minorEastAsia" w:cstheme="minorEastAsia"/>
                <w:bCs/>
                <w:color w:val="auto"/>
                <w:sz w:val="18"/>
                <w:highlight w:val="none"/>
              </w:rPr>
            </w:pPr>
          </w:p>
        </w:tc>
        <w:tc>
          <w:tcPr>
            <w:tcW w:w="1050" w:type="dxa"/>
            <w:noWrap w:val="0"/>
            <w:vAlign w:val="center"/>
          </w:tcPr>
          <w:p>
            <w:pPr>
              <w:spacing w:line="360" w:lineRule="auto"/>
              <w:jc w:val="right"/>
              <w:rPr>
                <w:rFonts w:hint="eastAsia" w:asciiTheme="minorEastAsia" w:hAnsiTheme="minorEastAsia" w:eastAsiaTheme="minorEastAsia" w:cstheme="minorEastAsia"/>
                <w:bCs/>
                <w:color w:val="auto"/>
                <w:sz w:val="18"/>
                <w:highlight w:val="none"/>
              </w:rPr>
            </w:pPr>
          </w:p>
        </w:tc>
        <w:tc>
          <w:tcPr>
            <w:tcW w:w="1260" w:type="dxa"/>
            <w:noWrap w:val="0"/>
            <w:vAlign w:val="center"/>
          </w:tcPr>
          <w:p>
            <w:pPr>
              <w:spacing w:line="360" w:lineRule="auto"/>
              <w:jc w:val="right"/>
              <w:rPr>
                <w:rFonts w:hint="eastAsia" w:asciiTheme="minorEastAsia" w:hAnsiTheme="minorEastAsia" w:eastAsiaTheme="minorEastAsia" w:cstheme="minorEastAsia"/>
                <w:b/>
                <w:color w:val="auto"/>
                <w:sz w:val="18"/>
                <w:highlight w:val="none"/>
              </w:rPr>
            </w:pPr>
          </w:p>
        </w:tc>
        <w:tc>
          <w:tcPr>
            <w:tcW w:w="2420" w:type="dxa"/>
            <w:tcBorders>
              <w:right w:val="threeDEmboss" w:color="auto" w:sz="6" w:space="0"/>
            </w:tcBorders>
            <w:noWrap w:val="0"/>
            <w:vAlign w:val="center"/>
          </w:tcPr>
          <w:p>
            <w:pPr>
              <w:spacing w:line="360" w:lineRule="auto"/>
              <w:jc w:val="center"/>
              <w:rPr>
                <w:rFonts w:hint="eastAsia" w:asciiTheme="minorEastAsia" w:hAnsiTheme="minorEastAsia" w:eastAsiaTheme="minorEastAsia" w:cstheme="minorEastAsia"/>
                <w:bCs/>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91" w:type="dxa"/>
            <w:gridSpan w:val="3"/>
            <w:tcBorders>
              <w:left w:val="threeDEmboss" w:color="auto" w:sz="6" w:space="0"/>
            </w:tcBorders>
            <w:shd w:val="clear" w:color="auto" w:fill="auto"/>
            <w:noWrap w:val="0"/>
            <w:vAlign w:val="center"/>
          </w:tcPr>
          <w:p>
            <w:pPr>
              <w:spacing w:line="360" w:lineRule="auto"/>
              <w:jc w:val="center"/>
              <w:rPr>
                <w:rFonts w:hint="eastAsia" w:asciiTheme="minorEastAsia" w:hAnsiTheme="minorEastAsia" w:eastAsiaTheme="minorEastAsia" w:cstheme="minorEastAsia"/>
                <w:b/>
                <w:bCs/>
                <w:i/>
                <w:iCs/>
                <w:color w:val="auto"/>
                <w:highlight w:val="none"/>
              </w:rPr>
            </w:pPr>
            <w:r>
              <w:rPr>
                <w:rFonts w:hint="eastAsia" w:asciiTheme="minorEastAsia" w:hAnsiTheme="minorEastAsia" w:eastAsiaTheme="minorEastAsia" w:cstheme="minorEastAsia"/>
                <w:b/>
                <w:bCs/>
                <w:i/>
                <w:iCs/>
                <w:color w:val="auto"/>
                <w:highlight w:val="none"/>
              </w:rPr>
              <w:t xml:space="preserve">合     计                                </w:t>
            </w:r>
          </w:p>
        </w:tc>
        <w:tc>
          <w:tcPr>
            <w:tcW w:w="7460" w:type="dxa"/>
            <w:gridSpan w:val="5"/>
            <w:tcBorders>
              <w:right w:val="threeDEmboss" w:color="auto" w:sz="6" w:space="0"/>
            </w:tcBorders>
            <w:shd w:val="clear" w:color="auto" w:fill="FFFFCC"/>
            <w:noWrap w:val="0"/>
            <w:vAlign w:val="center"/>
          </w:tcPr>
          <w:p>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合计报价：     元</w:t>
            </w:r>
          </w:p>
        </w:tc>
      </w:tr>
    </w:tbl>
    <w:p>
      <w:pPr>
        <w:tabs>
          <w:tab w:val="left" w:pos="9720"/>
        </w:tabs>
        <w:rPr>
          <w:rFonts w:hint="eastAsia" w:asciiTheme="minorEastAsia" w:hAnsiTheme="minorEastAsia" w:eastAsiaTheme="minorEastAsia" w:cstheme="minorEastAsia"/>
          <w:bCs/>
          <w:color w:val="auto"/>
          <w:sz w:val="24"/>
          <w:szCs w:val="24"/>
          <w:highlight w:val="none"/>
        </w:rPr>
      </w:pPr>
    </w:p>
    <w:p>
      <w:pPr>
        <w:tabs>
          <w:tab w:val="left" w:pos="9720"/>
        </w:tabs>
        <w:rPr>
          <w:rFonts w:hint="eastAsia" w:asciiTheme="minorEastAsia" w:hAnsiTheme="minorEastAsia" w:eastAsiaTheme="minorEastAsia" w:cstheme="minorEastAsia"/>
          <w:bCs/>
          <w:color w:val="auto"/>
          <w:sz w:val="24"/>
          <w:szCs w:val="24"/>
          <w:highlight w:val="none"/>
        </w:rPr>
      </w:pPr>
    </w:p>
    <w:p>
      <w:pPr>
        <w:tabs>
          <w:tab w:val="left" w:pos="9720"/>
        </w:tabs>
        <w:rPr>
          <w:rFonts w:hint="eastAsia" w:asciiTheme="minorEastAsia" w:hAnsiTheme="minorEastAsia" w:eastAsiaTheme="minorEastAsia" w:cstheme="minorEastAsia"/>
          <w:bCs/>
          <w:color w:val="auto"/>
          <w:sz w:val="24"/>
          <w:szCs w:val="24"/>
          <w:highlight w:val="none"/>
        </w:rPr>
      </w:pPr>
    </w:p>
    <w:p>
      <w:pPr>
        <w:tabs>
          <w:tab w:val="left" w:pos="9720"/>
        </w:tabs>
        <w:rPr>
          <w:rFonts w:hint="eastAsia" w:asciiTheme="minorEastAsia" w:hAnsiTheme="minorEastAsia" w:eastAsiaTheme="minorEastAsia" w:cstheme="minorEastAsia"/>
          <w:bCs/>
          <w:color w:val="auto"/>
          <w:sz w:val="24"/>
          <w:szCs w:val="24"/>
          <w:highlight w:val="none"/>
        </w:rPr>
      </w:pPr>
    </w:p>
    <w:p>
      <w:pPr>
        <w:tabs>
          <w:tab w:val="left" w:pos="9720"/>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采购编号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填表说明：1、以上表格仅供参考，可根据自身需要适当调整表格内容。</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2、以上内容必须与响应方案中所介绍的内容、《报价汇总表》一致相符。</w:t>
      </w:r>
    </w:p>
    <w:p>
      <w:pPr>
        <w:rPr>
          <w:rFonts w:hint="eastAsia" w:asciiTheme="minorEastAsia" w:hAnsiTheme="minorEastAsia" w:eastAsiaTheme="minorEastAsia" w:cstheme="minorEastAsia"/>
          <w:color w:val="auto"/>
          <w:highlight w:val="none"/>
        </w:rPr>
      </w:pPr>
    </w:p>
    <w:p>
      <w:pPr>
        <w:spacing w:line="48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供应商名称：</w:t>
      </w:r>
      <w:r>
        <w:rPr>
          <w:rFonts w:hint="eastAsia" w:asciiTheme="minorEastAsia" w:hAnsiTheme="minorEastAsia" w:eastAsiaTheme="minorEastAsia" w:cstheme="minorEastAsia"/>
          <w:b/>
          <w:color w:val="auto"/>
          <w:sz w:val="24"/>
          <w:szCs w:val="24"/>
          <w:highlight w:val="none"/>
          <w:u w:val="single"/>
        </w:rPr>
        <w:t xml:space="preserve">      （全称）             </w:t>
      </w:r>
      <w:r>
        <w:rPr>
          <w:rFonts w:hint="eastAsia" w:asciiTheme="minorEastAsia" w:hAnsiTheme="minorEastAsia" w:eastAsiaTheme="minorEastAsia" w:cstheme="minorEastAsia"/>
          <w:b/>
          <w:color w:val="auto"/>
          <w:sz w:val="24"/>
          <w:szCs w:val="24"/>
          <w:highlight w:val="none"/>
        </w:rPr>
        <w:t xml:space="preserve"> （公章）</w:t>
      </w:r>
    </w:p>
    <w:p>
      <w:pPr>
        <w:rPr>
          <w:rFonts w:hint="eastAsia" w:asciiTheme="minorEastAsia" w:hAnsiTheme="minorEastAsia" w:eastAsiaTheme="minorEastAsia" w:cstheme="minorEastAsia"/>
          <w:b/>
          <w:color w:val="auto"/>
          <w:highlight w:val="none"/>
        </w:rPr>
        <w:sectPr>
          <w:headerReference r:id="rId22" w:type="default"/>
          <w:pgSz w:w="16838" w:h="11906" w:orient="landscape"/>
          <w:pgMar w:top="1587" w:right="1134" w:bottom="1134" w:left="1134" w:header="567" w:footer="737" w:gutter="0"/>
          <w:pgNumType w:fmt="decimal"/>
          <w:cols w:space="720" w:num="1"/>
          <w:docGrid w:linePitch="312" w:charSpace="0"/>
        </w:sectPr>
      </w:pPr>
    </w:p>
    <w:bookmarkEnd w:id="325"/>
    <w:bookmarkEnd w:id="326"/>
    <w:bookmarkEnd w:id="327"/>
    <w:bookmarkEnd w:id="328"/>
    <w:bookmarkEnd w:id="329"/>
    <w:p>
      <w:pPr>
        <w:pStyle w:val="8"/>
        <w:pageBreakBefore/>
        <w:rPr>
          <w:rFonts w:hint="eastAsia" w:asciiTheme="minorEastAsia" w:hAnsiTheme="minorEastAsia" w:eastAsiaTheme="minorEastAsia" w:cstheme="minorEastAsia"/>
          <w:b w:val="0"/>
          <w:bCs/>
          <w:color w:val="auto"/>
          <w:sz w:val="52"/>
          <w:highlight w:val="none"/>
        </w:rPr>
        <w:sectPr>
          <w:headerReference r:id="rId23" w:type="default"/>
          <w:pgSz w:w="11906" w:h="16838"/>
          <w:pgMar w:top="1134" w:right="1134" w:bottom="1134" w:left="1588" w:header="567" w:footer="737" w:gutter="0"/>
          <w:pgNumType w:fmt="decimal"/>
          <w:cols w:space="720" w:num="1"/>
          <w:docGrid w:linePitch="312" w:charSpace="0"/>
        </w:sectPr>
      </w:pPr>
      <w:bookmarkStart w:id="502" w:name="_Toc7183"/>
      <w:bookmarkStart w:id="503" w:name="_Toc23703"/>
      <w:bookmarkStart w:id="504" w:name="_Toc310519907"/>
      <w:bookmarkStart w:id="505" w:name="_Toc419106585"/>
      <w:bookmarkStart w:id="506" w:name="_Toc373767222"/>
      <w:bookmarkStart w:id="507" w:name="_Toc10384"/>
      <w:bookmarkStart w:id="508" w:name="_Toc49329275"/>
      <w:bookmarkStart w:id="509" w:name="_Toc37670374"/>
      <w:bookmarkStart w:id="510" w:name="_Toc325031962"/>
      <w:r>
        <w:rPr>
          <w:rFonts w:hint="eastAsia" w:asciiTheme="minorEastAsia" w:hAnsiTheme="minorEastAsia" w:eastAsiaTheme="minorEastAsia" w:cstheme="minorEastAsia"/>
          <w:b w:val="0"/>
          <w:bCs/>
          <w:color w:val="auto"/>
          <w:sz w:val="52"/>
          <w:highlight w:val="none"/>
        </w:rPr>
        <w:fldChar w:fldCharType="begin"/>
      </w:r>
      <w:r>
        <w:rPr>
          <w:rFonts w:hint="eastAsia" w:asciiTheme="minorEastAsia" w:hAnsiTheme="minorEastAsia" w:eastAsiaTheme="minorEastAsia" w:cstheme="minorEastAsia"/>
          <w:b w:val="0"/>
          <w:bCs/>
          <w:color w:val="auto"/>
          <w:sz w:val="52"/>
          <w:highlight w:val="none"/>
        </w:rPr>
        <w:instrText xml:space="preserve"> HYPERLINK  \l "_投标文件目录" </w:instrText>
      </w:r>
      <w:r>
        <w:rPr>
          <w:rFonts w:hint="eastAsia" w:asciiTheme="minorEastAsia" w:hAnsiTheme="minorEastAsia" w:eastAsiaTheme="minorEastAsia" w:cstheme="minorEastAsia"/>
          <w:b w:val="0"/>
          <w:bCs/>
          <w:color w:val="auto"/>
          <w:sz w:val="52"/>
          <w:highlight w:val="none"/>
        </w:rPr>
        <w:fldChar w:fldCharType="separate"/>
      </w:r>
      <w:bookmarkStart w:id="511" w:name="_Toc419106580"/>
      <w:bookmarkStart w:id="512" w:name="_Toc259803672"/>
      <w:bookmarkStart w:id="513" w:name="_Toc240108119"/>
      <w:r>
        <w:rPr>
          <w:rFonts w:hint="eastAsia" w:asciiTheme="minorEastAsia" w:hAnsiTheme="minorEastAsia" w:eastAsiaTheme="minorEastAsia" w:cstheme="minorEastAsia"/>
          <w:b w:val="0"/>
          <w:bCs/>
          <w:color w:val="auto"/>
          <w:sz w:val="52"/>
          <w:highlight w:val="none"/>
        </w:rPr>
        <w:t>第四章  技术部分</w:t>
      </w:r>
      <w:bookmarkEnd w:id="511"/>
      <w:bookmarkEnd w:id="512"/>
      <w:bookmarkEnd w:id="513"/>
      <w:r>
        <w:rPr>
          <w:rFonts w:hint="eastAsia" w:asciiTheme="minorEastAsia" w:hAnsiTheme="minorEastAsia" w:eastAsiaTheme="minorEastAsia" w:cstheme="minorEastAsia"/>
          <w:b w:val="0"/>
          <w:bCs/>
          <w:color w:val="auto"/>
          <w:sz w:val="52"/>
          <w:highlight w:val="none"/>
        </w:rPr>
        <w:fldChar w:fldCharType="end"/>
      </w:r>
      <w:bookmarkEnd w:id="502"/>
      <w:bookmarkEnd w:id="503"/>
    </w:p>
    <w:p>
      <w:pPr>
        <w:pStyle w:val="9"/>
        <w:pageBreakBefore/>
        <w:numPr>
          <w:ilvl w:val="0"/>
          <w:numId w:val="37"/>
        </w:numPr>
        <w:spacing w:after="120" w:afterLines="0"/>
        <w:rPr>
          <w:rFonts w:hint="eastAsia" w:asciiTheme="minorEastAsia" w:hAnsiTheme="minorEastAsia" w:eastAsiaTheme="minorEastAsia" w:cstheme="minorEastAsia"/>
          <w:color w:val="auto"/>
          <w:sz w:val="36"/>
          <w:szCs w:val="36"/>
          <w:highlight w:val="none"/>
        </w:rPr>
      </w:pPr>
      <w:bookmarkStart w:id="514" w:name="_方案设计与组织实施"/>
      <w:bookmarkEnd w:id="514"/>
      <w:bookmarkStart w:id="515" w:name="_组织实施方案"/>
      <w:bookmarkEnd w:id="515"/>
      <w:bookmarkStart w:id="516" w:name="_Toc108234924"/>
      <w:bookmarkStart w:id="517" w:name="_Toc18535"/>
      <w:bookmarkStart w:id="518" w:name="_Toc119321159"/>
      <w:bookmarkStart w:id="519" w:name="_Toc136662948"/>
      <w:bookmarkStart w:id="520" w:name="_Toc136682924"/>
      <w:bookmarkStart w:id="521" w:name="_Toc20510"/>
      <w:bookmarkStart w:id="522" w:name="_Toc37670367"/>
      <w:bookmarkStart w:id="523" w:name="_Toc49329271"/>
      <w:r>
        <w:rPr>
          <w:rFonts w:hint="eastAsia" w:asciiTheme="minorEastAsia" w:hAnsiTheme="minorEastAsia" w:eastAsiaTheme="minorEastAsia" w:cstheme="minorEastAsia"/>
          <w:color w:val="auto"/>
          <w:sz w:val="36"/>
          <w:szCs w:val="36"/>
          <w:highlight w:val="none"/>
        </w:rPr>
        <w:fldChar w:fldCharType="begin"/>
      </w:r>
      <w:r>
        <w:rPr>
          <w:rFonts w:hint="eastAsia" w:asciiTheme="minorEastAsia" w:hAnsiTheme="minorEastAsia" w:eastAsiaTheme="minorEastAsia" w:cstheme="minorEastAsia"/>
          <w:color w:val="auto"/>
          <w:sz w:val="36"/>
          <w:szCs w:val="36"/>
          <w:highlight w:val="none"/>
        </w:rPr>
        <w:instrText xml:space="preserve"> DOCVARIABLE  设备技术响应表开始  \* MERGEFORMAT </w:instrText>
      </w:r>
      <w:r>
        <w:rPr>
          <w:rFonts w:hint="eastAsia" w:asciiTheme="minorEastAsia" w:hAnsiTheme="minorEastAsia" w:eastAsiaTheme="minorEastAsia" w:cstheme="minorEastAsia"/>
          <w:color w:val="auto"/>
          <w:sz w:val="36"/>
          <w:szCs w:val="36"/>
          <w:highlight w:val="none"/>
        </w:rPr>
        <w:fldChar w:fldCharType="separate"/>
      </w:r>
      <w:r>
        <w:rPr>
          <w:rFonts w:hint="eastAsia" w:asciiTheme="minorEastAsia" w:hAnsiTheme="minorEastAsia" w:eastAsiaTheme="minorEastAsia" w:cstheme="minorEastAsia"/>
          <w:color w:val="auto"/>
          <w:sz w:val="36"/>
          <w:szCs w:val="36"/>
          <w:highlight w:val="none"/>
        </w:rPr>
        <w:fldChar w:fldCharType="end"/>
      </w:r>
      <w:bookmarkStart w:id="524" w:name="_Toc419106581"/>
      <w:bookmarkStart w:id="525" w:name="_Toc159385085"/>
      <w:r>
        <w:rPr>
          <w:rFonts w:hint="eastAsia" w:asciiTheme="minorEastAsia" w:hAnsiTheme="minorEastAsia" w:eastAsiaTheme="minorEastAsia" w:cstheme="minorEastAsia"/>
          <w:color w:val="auto"/>
          <w:sz w:val="36"/>
          <w:szCs w:val="36"/>
          <w:highlight w:val="none"/>
        </w:rPr>
        <w:t>技术条款响应表</w:t>
      </w:r>
      <w:bookmarkEnd w:id="516"/>
      <w:bookmarkEnd w:id="517"/>
      <w:bookmarkEnd w:id="518"/>
      <w:bookmarkEnd w:id="519"/>
      <w:bookmarkEnd w:id="520"/>
      <w:bookmarkEnd w:id="521"/>
      <w:bookmarkEnd w:id="524"/>
      <w:bookmarkEnd w:id="525"/>
    </w:p>
    <w:bookmarkEnd w:id="522"/>
    <w:bookmarkEnd w:id="523"/>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一、技术参数响应情况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8"/>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8"/>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采购文件中的全部技术条款均能完全响应（须注明对应方案）</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8"/>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采购方发布的补充通知中各项技术要求（如有）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8"/>
              </w:numPr>
              <w:jc w:val="center"/>
              <w:rPr>
                <w:rFonts w:hint="eastAsia" w:asciiTheme="minorEastAsia" w:hAnsiTheme="minorEastAsia" w:eastAsiaTheme="minorEastAsia" w:cs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同意采购方以任何形式对我方提供的技术部分内容的真实性和有效性进行公开审查验证。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二、技术参数偏离情况说明（如有）：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8"/>
              </w:numPr>
              <w:jc w:val="center"/>
              <w:rPr>
                <w:rFonts w:hint="eastAsia" w:asciiTheme="minorEastAsia" w:hAnsiTheme="minorEastAsia" w:eastAsiaTheme="minorEastAsia" w:cs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不同意公开的技术部分内容（如有）：</w:t>
            </w:r>
          </w:p>
        </w:tc>
      </w:tr>
    </w:tbl>
    <w:p>
      <w:pPr>
        <w:ind w:left="630" w:hanging="630" w:hangingChars="300"/>
        <w:rPr>
          <w:rFonts w:hint="eastAsia" w:asciiTheme="minorEastAsia" w:hAnsiTheme="minorEastAsia" w:eastAsiaTheme="minorEastAsia" w:cstheme="minorEastAsia"/>
          <w:color w:val="auto"/>
          <w:highlight w:val="none"/>
        </w:rPr>
      </w:pPr>
    </w:p>
    <w:p>
      <w:pPr>
        <w:ind w:left="840" w:hanging="840" w:hanging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填表说明：</w:t>
      </w:r>
    </w:p>
    <w:p>
      <w:pPr>
        <w:ind w:left="840" w:leftChars="200" w:hanging="420" w:hanging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1、响应栏内空白或打“√”表示完全响应；对打“×”视为偏离，若技术参数存在偏离，请在“技术参数偏离情况说明栏”扼要描述。</w:t>
      </w:r>
    </w:p>
    <w:p>
      <w:pPr>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2、本文件中有“★”标注项为不可负偏离(劣于)的重要项。</w:t>
      </w:r>
    </w:p>
    <w:p>
      <w:pPr>
        <w:ind w:left="735" w:hanging="31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3、若上述技术条款内容与“采购项目技术要求”列述不一致时，均以“采购项目技术要求”详细内容为准。</w:t>
      </w:r>
    </w:p>
    <w:p>
      <w:pPr>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4、本表内容不得擅自删改。</w:t>
      </w:r>
    </w:p>
    <w:p>
      <w:pPr>
        <w:spacing w:line="360" w:lineRule="auto"/>
        <w:rPr>
          <w:rFonts w:hint="eastAsia" w:asciiTheme="minorEastAsia" w:hAnsiTheme="minorEastAsia" w:eastAsiaTheme="minorEastAsia" w:cstheme="minorEastAsia"/>
          <w:color w:val="auto"/>
          <w:highlight w:val="none"/>
        </w:rPr>
      </w:pPr>
    </w:p>
    <w:p>
      <w:pPr>
        <w:tabs>
          <w:tab w:val="left" w:pos="5103"/>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供应商名称：</w:t>
      </w:r>
      <w:r>
        <w:rPr>
          <w:rFonts w:hint="eastAsia" w:asciiTheme="minorEastAsia" w:hAnsiTheme="minorEastAsia" w:eastAsiaTheme="minorEastAsia" w:cstheme="minorEastAsia"/>
          <w:b/>
          <w:color w:val="auto"/>
          <w:highlight w:val="none"/>
          <w:u w:val="single"/>
        </w:rPr>
        <w:t xml:space="preserve">        （全称）           </w:t>
      </w:r>
      <w:r>
        <w:rPr>
          <w:rFonts w:hint="eastAsia" w:asciiTheme="minorEastAsia" w:hAnsiTheme="minorEastAsia" w:eastAsiaTheme="minorEastAsia" w:cstheme="minorEastAsia"/>
          <w:b/>
          <w:color w:val="auto"/>
          <w:highlight w:val="none"/>
        </w:rPr>
        <w:t xml:space="preserve"> （公章）</w:t>
      </w:r>
    </w:p>
    <w:p>
      <w:pPr>
        <w:spacing w:line="360" w:lineRule="auto"/>
        <w:rPr>
          <w:rFonts w:hint="eastAsia" w:asciiTheme="minorEastAsia" w:hAnsiTheme="minorEastAsia" w:eastAsiaTheme="minorEastAsia" w:cstheme="minorEastAsia"/>
          <w:b/>
          <w:color w:val="auto"/>
          <w:highlight w:val="none"/>
        </w:rPr>
        <w:sectPr>
          <w:headerReference r:id="rId25" w:type="first"/>
          <w:headerReference r:id="rId24" w:type="default"/>
          <w:pgSz w:w="11906" w:h="16838"/>
          <w:pgMar w:top="1134" w:right="1134" w:bottom="1134" w:left="1588" w:header="567" w:footer="737" w:gutter="0"/>
          <w:pgNumType w:fmt="decimal"/>
          <w:cols w:space="720" w:num="1"/>
          <w:docGrid w:linePitch="312" w:charSpace="0"/>
        </w:sectPr>
      </w:pPr>
    </w:p>
    <w:p>
      <w:pPr>
        <w:pStyle w:val="9"/>
        <w:pageBreakBefore/>
        <w:numPr>
          <w:ilvl w:val="0"/>
          <w:numId w:val="39"/>
        </w:numPr>
        <w:spacing w:after="120" w:afterLines="0"/>
        <w:rPr>
          <w:rFonts w:hint="eastAsia" w:asciiTheme="minorEastAsia" w:hAnsiTheme="minorEastAsia" w:eastAsiaTheme="minorEastAsia" w:cstheme="minorEastAsia"/>
          <w:color w:val="auto"/>
          <w:sz w:val="36"/>
          <w:szCs w:val="36"/>
          <w:highlight w:val="none"/>
        </w:rPr>
      </w:pPr>
      <w:bookmarkStart w:id="526" w:name="_Toc419106582"/>
      <w:bookmarkStart w:id="527" w:name="_Toc21633"/>
      <w:bookmarkStart w:id="528" w:name="_Toc23976"/>
      <w:r>
        <w:rPr>
          <w:rFonts w:hint="eastAsia" w:asciiTheme="minorEastAsia" w:hAnsiTheme="minorEastAsia" w:eastAsiaTheme="minorEastAsia" w:cstheme="minorEastAsia"/>
          <w:color w:val="auto"/>
          <w:sz w:val="36"/>
          <w:szCs w:val="36"/>
          <w:highlight w:val="none"/>
        </w:rPr>
        <w:t>技术方案总体内容</w:t>
      </w:r>
      <w:bookmarkEnd w:id="526"/>
      <w:bookmarkEnd w:id="527"/>
      <w:bookmarkEnd w:id="528"/>
    </w:p>
    <w:p>
      <w:pPr>
        <w:tabs>
          <w:tab w:val="left" w:pos="1322"/>
        </w:tabs>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技术方案必须科学合理、真实可行，能充分体现出自身技术和专业优势。技术方案必须对应评审方法中评审子项的顺序逐一进行描述，，</w:t>
      </w:r>
      <w:r>
        <w:rPr>
          <w:rFonts w:hint="eastAsia" w:asciiTheme="minorEastAsia" w:hAnsiTheme="minorEastAsia" w:eastAsiaTheme="minorEastAsia" w:cstheme="minorEastAsia"/>
          <w:b/>
          <w:color w:val="auto"/>
          <w:sz w:val="24"/>
          <w:szCs w:val="24"/>
          <w:highlight w:val="none"/>
          <w:lang w:eastAsia="zh-CN"/>
        </w:rPr>
        <w:t>包含但</w:t>
      </w:r>
      <w:r>
        <w:rPr>
          <w:rFonts w:hint="eastAsia" w:asciiTheme="minorEastAsia" w:hAnsiTheme="minorEastAsia" w:eastAsiaTheme="minorEastAsia" w:cstheme="minorEastAsia"/>
          <w:b/>
          <w:color w:val="auto"/>
          <w:sz w:val="24"/>
          <w:szCs w:val="24"/>
          <w:highlight w:val="none"/>
        </w:rPr>
        <w:t>不限于以下内容要点：：</w:t>
      </w:r>
    </w:p>
    <w:p>
      <w:pPr>
        <w:pStyle w:val="39"/>
        <w:numPr>
          <w:ilvl w:val="0"/>
          <w:numId w:val="40"/>
        </w:numPr>
        <w:spacing w:before="21" w:line="360" w:lineRule="auto"/>
        <w:ind w:left="425" w:leftChars="0" w:right="99" w:hanging="425" w:firstLineChars="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服务（技术）条款响应程度</w:t>
      </w:r>
    </w:p>
    <w:p>
      <w:pPr>
        <w:pStyle w:val="39"/>
        <w:numPr>
          <w:ilvl w:val="0"/>
          <w:numId w:val="40"/>
        </w:numPr>
        <w:spacing w:before="21" w:line="360" w:lineRule="auto"/>
        <w:ind w:left="425" w:leftChars="0" w:right="99" w:hanging="425" w:firstLineChars="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整体实施方案</w:t>
      </w:r>
    </w:p>
    <w:p>
      <w:pPr>
        <w:pStyle w:val="39"/>
        <w:numPr>
          <w:ilvl w:val="0"/>
          <w:numId w:val="40"/>
        </w:numPr>
        <w:spacing w:before="21" w:line="360" w:lineRule="auto"/>
        <w:ind w:left="425" w:leftChars="0" w:right="99" w:hanging="425" w:firstLineChars="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项目重点难点分析</w:t>
      </w:r>
    </w:p>
    <w:p>
      <w:pPr>
        <w:pStyle w:val="39"/>
        <w:numPr>
          <w:ilvl w:val="0"/>
          <w:numId w:val="40"/>
        </w:numPr>
        <w:spacing w:before="21" w:line="360" w:lineRule="auto"/>
        <w:ind w:left="425" w:leftChars="0" w:right="99" w:hanging="425" w:firstLineChars="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质量进度保障措施及方案</w:t>
      </w:r>
    </w:p>
    <w:p>
      <w:pPr>
        <w:pStyle w:val="39"/>
        <w:numPr>
          <w:ilvl w:val="0"/>
          <w:numId w:val="40"/>
        </w:numPr>
        <w:spacing w:before="21" w:line="360" w:lineRule="auto"/>
        <w:ind w:left="425" w:leftChars="0" w:right="99" w:hanging="425" w:firstLineChars="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服务响应速度及保证措施</w:t>
      </w:r>
    </w:p>
    <w:p>
      <w:pPr>
        <w:pStyle w:val="8"/>
        <w:pageBreakBefore/>
        <w:rPr>
          <w:rFonts w:hint="eastAsia" w:asciiTheme="minorEastAsia" w:hAnsiTheme="minorEastAsia" w:eastAsiaTheme="minorEastAsia" w:cstheme="minorEastAsia"/>
          <w:b w:val="0"/>
          <w:bCs/>
          <w:color w:val="auto"/>
          <w:sz w:val="32"/>
          <w:highlight w:val="none"/>
          <w:shd w:val="clear" w:color="auto" w:fill="CCFFFF"/>
        </w:rPr>
        <w:sectPr>
          <w:pgSz w:w="11906" w:h="16838"/>
          <w:pgMar w:top="1134" w:right="1134" w:bottom="1134" w:left="1588" w:header="567" w:footer="737" w:gutter="0"/>
          <w:pgNumType w:fmt="decimal"/>
          <w:cols w:space="720" w:num="1"/>
          <w:docGrid w:linePitch="312" w:charSpace="0"/>
        </w:sectPr>
      </w:pPr>
      <w:bookmarkStart w:id="529" w:name="_附__件__目__录"/>
      <w:bookmarkEnd w:id="529"/>
      <w:bookmarkStart w:id="530" w:name="_附__件"/>
      <w:bookmarkEnd w:id="530"/>
      <w:bookmarkStart w:id="531" w:name="_保证金退付书"/>
      <w:bookmarkEnd w:id="531"/>
      <w:bookmarkStart w:id="532" w:name="_技术条款响应表"/>
      <w:bookmarkEnd w:id="532"/>
      <w:bookmarkStart w:id="533" w:name="_Toc13443"/>
      <w:bookmarkStart w:id="534" w:name="_Toc17684"/>
      <w:r>
        <w:rPr>
          <w:rFonts w:hint="eastAsia" w:asciiTheme="minorEastAsia" w:hAnsiTheme="minorEastAsia" w:eastAsiaTheme="minorEastAsia" w:cstheme="minorEastAsia"/>
          <w:b w:val="0"/>
          <w:bCs/>
          <w:color w:val="auto"/>
          <w:sz w:val="52"/>
          <w:highlight w:val="none"/>
          <w:u w:val="none"/>
        </w:rPr>
        <w:fldChar w:fldCharType="begin"/>
      </w:r>
      <w:r>
        <w:rPr>
          <w:rFonts w:hint="eastAsia" w:asciiTheme="minorEastAsia" w:hAnsiTheme="minorEastAsia" w:eastAsiaTheme="minorEastAsia" w:cstheme="minorEastAsia"/>
          <w:b w:val="0"/>
          <w:bCs/>
          <w:color w:val="auto"/>
          <w:sz w:val="52"/>
          <w:highlight w:val="none"/>
          <w:u w:val="none"/>
        </w:rPr>
        <w:instrText xml:space="preserve"> HYPERLINK  \l "_投标文件目录" </w:instrText>
      </w:r>
      <w:r>
        <w:rPr>
          <w:rFonts w:hint="eastAsia" w:asciiTheme="minorEastAsia" w:hAnsiTheme="minorEastAsia" w:eastAsiaTheme="minorEastAsia" w:cstheme="minorEastAsia"/>
          <w:b w:val="0"/>
          <w:bCs/>
          <w:color w:val="auto"/>
          <w:sz w:val="52"/>
          <w:highlight w:val="none"/>
          <w:u w:val="none"/>
        </w:rPr>
        <w:fldChar w:fldCharType="separate"/>
      </w:r>
      <w:bookmarkStart w:id="535" w:name="_Toc240108120"/>
      <w:bookmarkStart w:id="536" w:name="_Toc113157431"/>
      <w:bookmarkStart w:id="537" w:name="_Toc259803673"/>
      <w:bookmarkStart w:id="538" w:name="_Toc419106583"/>
      <w:r>
        <w:rPr>
          <w:rStyle w:val="29"/>
          <w:rFonts w:hint="eastAsia" w:asciiTheme="minorEastAsia" w:hAnsiTheme="minorEastAsia" w:eastAsiaTheme="minorEastAsia" w:cstheme="minorEastAsia"/>
          <w:b w:val="0"/>
          <w:bCs/>
          <w:color w:val="auto"/>
          <w:sz w:val="52"/>
          <w:highlight w:val="none"/>
          <w:u w:val="none"/>
        </w:rPr>
        <w:t xml:space="preserve">第五章    </w:t>
      </w:r>
      <w:bookmarkEnd w:id="535"/>
      <w:bookmarkEnd w:id="536"/>
      <w:r>
        <w:rPr>
          <w:rFonts w:hint="eastAsia" w:asciiTheme="minorEastAsia" w:hAnsiTheme="minorEastAsia" w:eastAsiaTheme="minorEastAsia" w:cstheme="minorEastAsia"/>
          <w:b w:val="0"/>
          <w:bCs/>
          <w:color w:val="auto"/>
          <w:sz w:val="52"/>
          <w:highlight w:val="none"/>
          <w:u w:val="none"/>
        </w:rPr>
        <w:fldChar w:fldCharType="end"/>
      </w:r>
      <w:r>
        <w:rPr>
          <w:rFonts w:hint="eastAsia" w:asciiTheme="minorEastAsia" w:hAnsiTheme="minorEastAsia" w:eastAsiaTheme="minorEastAsia" w:cstheme="minorEastAsia"/>
          <w:b w:val="0"/>
          <w:bCs/>
          <w:color w:val="auto"/>
          <w:sz w:val="52"/>
          <w:highlight w:val="none"/>
        </w:rPr>
        <w:t>其 他 文 件</w:t>
      </w:r>
      <w:bookmarkEnd w:id="533"/>
      <w:bookmarkEnd w:id="534"/>
      <w:bookmarkEnd w:id="537"/>
      <w:bookmarkEnd w:id="538"/>
    </w:p>
    <w:p>
      <w:pPr>
        <w:pStyle w:val="9"/>
        <w:pageBreakBefore/>
        <w:spacing w:after="120" w:afterLines="0"/>
        <w:ind w:left="-6"/>
        <w:rPr>
          <w:rFonts w:hint="eastAsia" w:asciiTheme="minorEastAsia" w:hAnsiTheme="minorEastAsia" w:eastAsiaTheme="minorEastAsia" w:cstheme="minorEastAsia"/>
          <w:bCs/>
          <w:color w:val="auto"/>
          <w:sz w:val="36"/>
          <w:highlight w:val="none"/>
        </w:rPr>
      </w:pPr>
      <w:bookmarkStart w:id="539" w:name="_Toc18950"/>
      <w:bookmarkStart w:id="540" w:name="_Toc7124"/>
      <w:bookmarkStart w:id="541" w:name="_Toc419106584"/>
      <w:r>
        <w:rPr>
          <w:rFonts w:hint="eastAsia" w:asciiTheme="minorEastAsia" w:hAnsiTheme="minorEastAsia" w:eastAsiaTheme="minorEastAsia" w:cstheme="minorEastAsia"/>
          <w:bCs/>
          <w:color w:val="auto"/>
          <w:sz w:val="36"/>
          <w:highlight w:val="none"/>
        </w:rPr>
        <w:t>其它文件资料</w:t>
      </w:r>
      <w:bookmarkEnd w:id="539"/>
      <w:bookmarkEnd w:id="540"/>
      <w:bookmarkEnd w:id="541"/>
    </w:p>
    <w:p>
      <w:pPr>
        <w:rPr>
          <w:rFonts w:hint="eastAsia" w:asciiTheme="minorEastAsia" w:hAnsiTheme="minorEastAsia" w:eastAsiaTheme="minorEastAsia" w:cstheme="minorEastAsia"/>
          <w:color w:val="auto"/>
          <w:highlight w:val="none"/>
        </w:rPr>
      </w:pPr>
    </w:p>
    <w:p>
      <w:pPr>
        <w:numPr>
          <w:ilvl w:val="0"/>
          <w:numId w:val="0"/>
        </w:numPr>
        <w:spacing w:line="360" w:lineRule="auto"/>
        <w:ind w:left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供应商认为有必要提供的其它材料</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br w:type="page"/>
      </w:r>
    </w:p>
    <w:p>
      <w:pPr>
        <w:jc w:val="center"/>
        <w:rPr>
          <w:rFonts w:hint="eastAsia" w:asciiTheme="minorEastAsia" w:hAnsiTheme="minorEastAsia" w:eastAsiaTheme="minorEastAsia" w:cstheme="minorEastAsia"/>
          <w:b/>
          <w:bCs/>
          <w:color w:val="auto"/>
          <w:sz w:val="36"/>
          <w:highlight w:val="none"/>
        </w:rPr>
      </w:pPr>
      <w:bookmarkStart w:id="542" w:name="_Toc32324"/>
      <w:r>
        <w:rPr>
          <w:rFonts w:hint="eastAsia" w:asciiTheme="minorEastAsia" w:hAnsiTheme="minorEastAsia" w:eastAsiaTheme="minorEastAsia" w:cstheme="minorEastAsia"/>
          <w:b/>
          <w:bCs/>
          <w:color w:val="auto"/>
          <w:sz w:val="36"/>
          <w:highlight w:val="none"/>
        </w:rPr>
        <w:t>中小企业声明函（如有）</w:t>
      </w:r>
    </w:p>
    <w:p>
      <w:pPr>
        <w:jc w:val="left"/>
        <w:rPr>
          <w:rFonts w:hint="eastAsia" w:asciiTheme="minorEastAsia" w:hAnsiTheme="minorEastAsia" w:eastAsiaTheme="minorEastAsia" w:cstheme="minorEastAsia"/>
          <w:color w:val="auto"/>
          <w:highlight w:val="none"/>
        </w:rPr>
      </w:pPr>
    </w:p>
    <w:p>
      <w:pPr>
        <w:jc w:val="left"/>
        <w:rPr>
          <w:rFonts w:hint="eastAsia" w:asciiTheme="minorEastAsia" w:hAnsiTheme="minorEastAsia" w:eastAsiaTheme="minorEastAsia" w:cstheme="minorEastAsia"/>
          <w:color w:val="auto"/>
          <w:sz w:val="24"/>
          <w:szCs w:val="24"/>
          <w:highlight w:val="none"/>
        </w:rPr>
      </w:pPr>
    </w:p>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（如有请提供相关证明文件）</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rPr>
        <w:t>本公司郑重声明，根据《政府采购促进中小企业发展管理行办法》（财库〔2020〕46号）的规定，本公司参加</w:t>
      </w:r>
      <w:r>
        <w:rPr>
          <w:rFonts w:hint="eastAsia" w:asciiTheme="minorEastAsia" w:hAnsiTheme="minorEastAsia" w:eastAsiaTheme="minorEastAsia" w:cstheme="minorEastAsia"/>
          <w:color w:val="auto"/>
          <w:sz w:val="24"/>
          <w:szCs w:val="24"/>
          <w:highlight w:val="none"/>
          <w:u w:val="single"/>
          <w:lang w:eastAsia="zh-CN"/>
        </w:rPr>
        <w:t>佛山市消防救援支队</w:t>
      </w:r>
      <w:r>
        <w:rPr>
          <w:rFonts w:hint="eastAsia" w:asciiTheme="minorEastAsia" w:hAnsiTheme="minorEastAsia" w:eastAsiaTheme="minorEastAsia" w:cstheme="minorEastAsia"/>
          <w:color w:val="auto"/>
          <w:sz w:val="24"/>
          <w:szCs w:val="24"/>
          <w:highlight w:val="none"/>
          <w:shd w:val="clear" w:color="auto" w:fill="FFFFFF"/>
        </w:rPr>
        <w:t>的</w:t>
      </w:r>
      <w:r>
        <w:rPr>
          <w:rFonts w:hint="eastAsia" w:asciiTheme="minorEastAsia" w:hAnsiTheme="minorEastAsia" w:eastAsiaTheme="minorEastAsia" w:cstheme="minorEastAsia"/>
          <w:color w:val="auto"/>
          <w:sz w:val="24"/>
          <w:szCs w:val="24"/>
          <w:highlight w:val="none"/>
          <w:u w:val="single"/>
          <w:shd w:val="clear" w:color="auto" w:fill="FFFFFF"/>
          <w:lang w:eastAsia="zh-CN"/>
        </w:rPr>
        <w:t>2021年省、市在佛山挂牌的火灾高风险区域整治工作实地检查评估项目</w:t>
      </w:r>
      <w:r>
        <w:rPr>
          <w:rFonts w:hint="eastAsia" w:asciiTheme="minorEastAsia" w:hAnsiTheme="minorEastAsia" w:eastAsiaTheme="minorEastAsia" w:cstheme="minorEastAsia"/>
          <w:color w:val="auto"/>
          <w:sz w:val="24"/>
          <w:szCs w:val="24"/>
          <w:highlight w:val="none"/>
        </w:rPr>
        <w:t>采购活动，服务全部由符合政策要求的中小企业承接。相关企业（含联合体中的中小企业、签订分包意向协议的中小企业）的具体情况如下：</w:t>
      </w:r>
    </w:p>
    <w:p>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2021年省、市在佛山挂牌的火灾高风险区域整治工作实地检查评估项目</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其他未列明行业</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2021年省、市在佛山挂牌的火灾高风险区域整治工作实地检查评估项目</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其他未列明行业</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以上企业，不属于大企业的分支机构，不存在控股股东为大企业的情形，也不存在与大企业负责人为同一人的情形。</w:t>
      </w:r>
    </w:p>
    <w:p>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本企业对上述声明函的真实性负责。如有虚假，将依法承担相应责任。</w:t>
      </w:r>
    </w:p>
    <w:p>
      <w:pPr>
        <w:spacing w:line="360" w:lineRule="auto"/>
        <w:ind w:firstLine="480"/>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rPr>
        <w:t>附：《小型和微型企业产品表》。</w:t>
      </w:r>
    </w:p>
    <w:p>
      <w:pPr>
        <w:tabs>
          <w:tab w:val="left" w:pos="-3780"/>
        </w:tabs>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供应商：</w:t>
      </w:r>
      <w:r>
        <w:rPr>
          <w:rFonts w:hint="eastAsia" w:asciiTheme="minorEastAsia" w:hAnsiTheme="minorEastAsia" w:eastAsiaTheme="minorEastAsia" w:cstheme="minorEastAsia"/>
          <w:b/>
          <w:color w:val="auto"/>
          <w:sz w:val="24"/>
          <w:szCs w:val="24"/>
          <w:highlight w:val="none"/>
          <w:u w:val="single"/>
        </w:rPr>
        <w:t xml:space="preserve">         （公司名称）          </w:t>
      </w:r>
      <w:r>
        <w:rPr>
          <w:rFonts w:hint="eastAsia" w:asciiTheme="minorEastAsia" w:hAnsiTheme="minorEastAsia" w:eastAsiaTheme="minorEastAsia" w:cstheme="minorEastAsia"/>
          <w:b/>
          <w:color w:val="auto"/>
          <w:sz w:val="24"/>
          <w:szCs w:val="24"/>
          <w:highlight w:val="none"/>
        </w:rPr>
        <w:t>（公章）</w:t>
      </w:r>
    </w:p>
    <w:p>
      <w:pPr>
        <w:spacing w:line="360" w:lineRule="auto"/>
        <w:ind w:firstLine="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日期：    年    月    日</w:t>
      </w:r>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u w:val="double"/>
        </w:rPr>
        <w:t>本项说明及要求：</w:t>
      </w:r>
    </w:p>
    <w:p>
      <w:pPr>
        <w:tabs>
          <w:tab w:val="left" w:pos="540"/>
        </w:tabs>
        <w:snapToGrid w:val="0"/>
        <w:spacing w:line="360" w:lineRule="auto"/>
        <w:ind w:left="602" w:hanging="602" w:hangingChars="25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1.   本项内容为非必须提供内容，供应商根据自身情况决定是否提供此项资料</w:t>
      </w:r>
    </w:p>
    <w:p>
      <w:pPr>
        <w:tabs>
          <w:tab w:val="left" w:pos="540"/>
        </w:tabs>
        <w:snapToGrid w:val="0"/>
        <w:spacing w:line="360" w:lineRule="auto"/>
        <w:ind w:left="600" w:hanging="600" w:hangingChars="2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2.   小型、微型企业提供中型企业制造的货物的，视同为中型企业。</w:t>
      </w:r>
    </w:p>
    <w:p>
      <w:pPr>
        <w:tabs>
          <w:tab w:val="left" w:pos="540"/>
        </w:tabs>
        <w:snapToGrid w:val="0"/>
        <w:spacing w:line="360" w:lineRule="auto"/>
        <w:ind w:left="600" w:hanging="600" w:hangingChars="2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3.   以小型和微型企业产品投标的，如未能完整提供本项资料的，将不能享受相应的价格折扣。</w:t>
      </w:r>
    </w:p>
    <w:p>
      <w:pPr>
        <w:tabs>
          <w:tab w:val="left" w:pos="540"/>
        </w:tabs>
        <w:snapToGrid w:val="0"/>
        <w:spacing w:line="360" w:lineRule="auto"/>
        <w:ind w:left="602" w:hanging="602" w:hangingChars="25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4.</w:t>
      </w:r>
      <w:r>
        <w:rPr>
          <w:rFonts w:hint="eastAsia" w:asciiTheme="minorEastAsia" w:hAnsiTheme="minorEastAsia" w:eastAsiaTheme="minorEastAsia" w:cstheme="minorEastAsia"/>
          <w:b/>
          <w:color w:val="auto"/>
          <w:sz w:val="24"/>
          <w:szCs w:val="24"/>
          <w:highlight w:val="none"/>
          <w:lang w:val="en-GB"/>
        </w:rPr>
        <w:tab/>
      </w:r>
      <w:r>
        <w:rPr>
          <w:rFonts w:hint="eastAsia" w:asciiTheme="minorEastAsia" w:hAnsiTheme="minorEastAsia" w:eastAsiaTheme="minorEastAsia" w:cstheme="minorEastAsia"/>
          <w:b/>
          <w:color w:val="auto"/>
          <w:sz w:val="24"/>
          <w:szCs w:val="24"/>
          <w:highlight w:val="none"/>
          <w:lang w:val="en-GB"/>
        </w:rPr>
        <w:t>本声明函内容不得擅自删改。</w:t>
      </w:r>
    </w:p>
    <w:p>
      <w:pPr>
        <w:pStyle w:val="13"/>
        <w:rPr>
          <w:rFonts w:hint="eastAsia" w:asciiTheme="minorEastAsia" w:hAnsiTheme="minorEastAsia" w:eastAsiaTheme="minorEastAsia" w:cstheme="minorEastAsia"/>
          <w:b/>
          <w:color w:val="auto"/>
          <w:sz w:val="24"/>
          <w:szCs w:val="24"/>
          <w:highlight w:val="none"/>
          <w:lang w:val="en-GB"/>
        </w:rPr>
      </w:pPr>
    </w:p>
    <w:p>
      <w:pPr>
        <w:pStyle w:val="13"/>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注：从业人员、营业收入、资产总额填报上一年度数据，无上一年度数据的新成立企业可不填报</w:t>
      </w:r>
    </w:p>
    <w:p>
      <w:pPr>
        <w:pageBreakBefore/>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《中小企业声明函》附表：</w:t>
      </w:r>
    </w:p>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小型和微型企业产品表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416"/>
        <w:gridCol w:w="1011"/>
        <w:gridCol w:w="1073"/>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0" w:type="dxa"/>
            <w:shd w:val="clear" w:color="auto" w:fill="F3F3F3"/>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5416" w:type="dxa"/>
            <w:shd w:val="clear" w:color="auto" w:fill="F3F3F3"/>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对应《投标明细报价表》的名称</w:t>
            </w:r>
          </w:p>
        </w:tc>
        <w:tc>
          <w:tcPr>
            <w:tcW w:w="1011" w:type="dxa"/>
            <w:shd w:val="clear" w:color="auto" w:fill="F3F3F3"/>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数量</w:t>
            </w:r>
          </w:p>
        </w:tc>
        <w:tc>
          <w:tcPr>
            <w:tcW w:w="1073" w:type="dxa"/>
            <w:shd w:val="clear" w:color="auto" w:fill="F3F3F3"/>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制造商</w:t>
            </w:r>
          </w:p>
        </w:tc>
        <w:tc>
          <w:tcPr>
            <w:tcW w:w="1904" w:type="dxa"/>
            <w:shd w:val="clear" w:color="auto" w:fill="F3F3F3"/>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制造商是否为小型或微型企业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541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011"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073"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904"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541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011"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073"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904"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541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011"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073"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904"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541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011"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073"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904"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p>
        </w:tc>
      </w:tr>
    </w:tbl>
    <w:p>
      <w:pPr>
        <w:spacing w:line="360" w:lineRule="auto"/>
        <w:rPr>
          <w:rFonts w:hint="eastAsia" w:asciiTheme="minorEastAsia" w:hAnsiTheme="minorEastAsia" w:eastAsiaTheme="minorEastAsia" w:cstheme="minorEastAsia"/>
          <w:color w:val="auto"/>
          <w:sz w:val="24"/>
          <w:szCs w:val="24"/>
          <w:highlight w:val="none"/>
        </w:rPr>
      </w:pPr>
    </w:p>
    <w:p>
      <w:pPr>
        <w:tabs>
          <w:tab w:val="left" w:pos="-3780"/>
        </w:tabs>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供应商：</w:t>
      </w:r>
      <w:r>
        <w:rPr>
          <w:rFonts w:hint="eastAsia" w:asciiTheme="minorEastAsia" w:hAnsiTheme="minorEastAsia" w:eastAsiaTheme="minorEastAsia" w:cstheme="minorEastAsia"/>
          <w:b/>
          <w:color w:val="auto"/>
          <w:sz w:val="24"/>
          <w:szCs w:val="24"/>
          <w:highlight w:val="none"/>
          <w:u w:val="single"/>
        </w:rPr>
        <w:t xml:space="preserve">         （公司名称）          </w:t>
      </w:r>
      <w:r>
        <w:rPr>
          <w:rFonts w:hint="eastAsia" w:asciiTheme="minorEastAsia" w:hAnsiTheme="minorEastAsia" w:eastAsiaTheme="minorEastAsia" w:cstheme="minorEastAsia"/>
          <w:b/>
          <w:color w:val="auto"/>
          <w:sz w:val="24"/>
          <w:szCs w:val="24"/>
          <w:highlight w:val="none"/>
        </w:rPr>
        <w:t>（公章）</w:t>
      </w:r>
    </w:p>
    <w:p>
      <w:pPr>
        <w:spacing w:line="360" w:lineRule="auto"/>
        <w:ind w:firstLine="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日期：    年    月    日</w:t>
      </w:r>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注：在空格内填写对应《投标明细报价表》的名称及数量。</w:t>
      </w:r>
    </w:p>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若为服务类，仅需在序号1的“对应《投标明细报价表》的名称”中填写“服务”</w:t>
      </w:r>
    </w:p>
    <w:p>
      <w:pPr>
        <w:spacing w:line="360" w:lineRule="auto"/>
        <w:rPr>
          <w:rFonts w:hint="eastAsia" w:asciiTheme="minorEastAsia" w:hAnsiTheme="minorEastAsia" w:eastAsiaTheme="minorEastAsia" w:cstheme="minorEastAsia"/>
          <w:color w:val="auto"/>
          <w:sz w:val="24"/>
          <w:szCs w:val="24"/>
          <w:highlight w:val="none"/>
        </w:rPr>
      </w:pPr>
    </w:p>
    <w:p>
      <w:pPr>
        <w:spacing w:line="300" w:lineRule="auto"/>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关于中小企业的说明：</w:t>
      </w:r>
      <w:r>
        <w:rPr>
          <w:rFonts w:hint="eastAsia" w:asciiTheme="minorEastAsia" w:hAnsiTheme="minorEastAsia" w:eastAsiaTheme="minorEastAsia" w:cstheme="minorEastAsia"/>
          <w:color w:val="auto"/>
          <w:sz w:val="24"/>
          <w:szCs w:val="24"/>
          <w:highlight w:val="none"/>
        </w:rPr>
        <w:t>《政府采购促进中小企业发展管理办法》所述“第二条 本法所称中小企业，是指在中华人民共和国境内依法设立，依据国务院批准的中小企业划分标准确定的中型企业、小型企业和微型企业，但与大企业负责人为同一人，或者与大企业存在直接控股、管理关系的除外。符合中小企业划分标准的个体工商户，在政府采购活动中视同中小企业。”“第四条 在政府采购活动中，供应商提供货物、工程或者服务符合下列情形的，享受本办法规定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00" w:lineRule="auto"/>
        <w:ind w:firstLine="480" w:firstLineChars="200"/>
        <w:jc w:val="left"/>
        <w:rPr>
          <w:rFonts w:hint="eastAsia" w:asciiTheme="minorEastAsia" w:hAnsiTheme="minorEastAsia" w:eastAsiaTheme="minorEastAsia" w:cstheme="minorEastAsia"/>
          <w:color w:val="auto"/>
          <w:sz w:val="24"/>
          <w:highlight w:val="none"/>
        </w:rPr>
      </w:pPr>
    </w:p>
    <w:p>
      <w:pPr>
        <w:jc w:val="center"/>
        <w:rPr>
          <w:rFonts w:hint="eastAsia" w:asciiTheme="minorEastAsia" w:hAnsiTheme="minorEastAsia" w:eastAsiaTheme="minorEastAsia" w:cstheme="minorEastAsia"/>
          <w:b/>
          <w:bCs/>
          <w:color w:val="auto"/>
          <w:kern w:val="0"/>
          <w:sz w:val="36"/>
          <w:szCs w:val="20"/>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kern w:val="0"/>
          <w:sz w:val="36"/>
          <w:szCs w:val="20"/>
          <w:highlight w:val="none"/>
        </w:rPr>
        <w:t>残疾人福利性单位声明函（如有）</w:t>
      </w:r>
    </w:p>
    <w:p>
      <w:pPr>
        <w:jc w:val="center"/>
        <w:rPr>
          <w:rFonts w:hint="eastAsia" w:asciiTheme="minorEastAsia" w:hAnsiTheme="minorEastAsia" w:eastAsiaTheme="minorEastAsia" w:cstheme="minorEastAsia"/>
          <w:b/>
          <w:bCs/>
          <w:color w:val="auto"/>
          <w:kern w:val="0"/>
          <w:sz w:val="36"/>
          <w:szCs w:val="20"/>
          <w:highlight w:val="none"/>
        </w:rPr>
      </w:pP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jc w:val="center"/>
        <w:rPr>
          <w:rFonts w:hint="eastAsia" w:asciiTheme="minorEastAsia" w:hAnsiTheme="minorEastAsia" w:eastAsiaTheme="minorEastAsia" w:cstheme="minorEastAsia"/>
          <w:color w:val="auto"/>
          <w:sz w:val="24"/>
          <w:szCs w:val="24"/>
          <w:highlight w:val="none"/>
        </w:rPr>
      </w:pPr>
    </w:p>
    <w:p>
      <w:pPr>
        <w:jc w:val="center"/>
        <w:rPr>
          <w:rFonts w:hint="eastAsia" w:asciiTheme="minorEastAsia" w:hAnsiTheme="minorEastAsia" w:eastAsiaTheme="minorEastAsia" w:cstheme="minorEastAsia"/>
          <w:color w:val="auto"/>
          <w:sz w:val="24"/>
          <w:szCs w:val="24"/>
          <w:highlight w:val="none"/>
        </w:rPr>
      </w:pP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供应商名称（单位盖公章）：</w:t>
      </w:r>
      <w:r>
        <w:rPr>
          <w:rFonts w:hint="eastAsia" w:asciiTheme="minorEastAsia" w:hAnsiTheme="minorEastAsia" w:eastAsiaTheme="minorEastAsia" w:cstheme="minorEastAsia"/>
          <w:color w:val="auto"/>
          <w:sz w:val="24"/>
          <w:szCs w:val="24"/>
          <w:highlight w:val="none"/>
          <w:u w:val="single"/>
        </w:rPr>
        <w:t xml:space="preserve">                            </w:t>
      </w:r>
    </w:p>
    <w:p>
      <w:pPr>
        <w:jc w:val="cente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日 期：</w:t>
      </w:r>
      <w:r>
        <w:rPr>
          <w:rFonts w:hint="eastAsia" w:asciiTheme="minorEastAsia" w:hAnsiTheme="minorEastAsia" w:eastAsiaTheme="minorEastAsia" w:cstheme="minorEastAsia"/>
          <w:b/>
          <w:color w:val="auto"/>
          <w:sz w:val="24"/>
          <w:highlight w:val="none"/>
        </w:rPr>
        <w:t xml:space="preserve">    年    月    日</w:t>
      </w:r>
      <w:r>
        <w:rPr>
          <w:rFonts w:hint="eastAsia" w:asciiTheme="minorEastAsia" w:hAnsiTheme="minorEastAsia" w:eastAsiaTheme="minorEastAsia" w:cstheme="minorEastAsia"/>
          <w:color w:val="auto"/>
          <w:sz w:val="24"/>
          <w:szCs w:val="24"/>
          <w:highlight w:val="none"/>
          <w:u w:val="single"/>
        </w:rPr>
        <w:t xml:space="preserve">   </w:t>
      </w:r>
    </w:p>
    <w:p>
      <w:pPr>
        <w:jc w:val="center"/>
        <w:rPr>
          <w:rFonts w:hint="eastAsia" w:asciiTheme="minorEastAsia" w:hAnsiTheme="minorEastAsia" w:eastAsiaTheme="minorEastAsia" w:cstheme="minorEastAsia"/>
          <w:color w:val="auto"/>
          <w:sz w:val="28"/>
          <w:szCs w:val="28"/>
          <w:highlight w:val="none"/>
        </w:rPr>
      </w:pPr>
    </w:p>
    <w:p>
      <w:pPr>
        <w:jc w:val="center"/>
        <w:rPr>
          <w:rFonts w:hint="eastAsia" w:asciiTheme="minorEastAsia" w:hAnsiTheme="minorEastAsia" w:eastAsiaTheme="minorEastAsia" w:cstheme="minorEastAsia"/>
          <w:color w:val="auto"/>
          <w:sz w:val="28"/>
          <w:szCs w:val="28"/>
          <w:highlight w:val="none"/>
        </w:rPr>
      </w:pPr>
    </w:p>
    <w:p>
      <w:pPr>
        <w:spacing w:line="300" w:lineRule="auto"/>
        <w:jc w:val="left"/>
        <w:rPr>
          <w:rFonts w:hint="eastAsia" w:asciiTheme="minorEastAsia" w:hAnsiTheme="minorEastAsia" w:eastAsiaTheme="minorEastAsia" w:cstheme="minorEastAsia"/>
          <w:color w:val="auto"/>
          <w:sz w:val="24"/>
          <w:szCs w:val="24"/>
          <w:highlight w:val="none"/>
        </w:rPr>
      </w:pPr>
    </w:p>
    <w:p>
      <w:pPr>
        <w:spacing w:line="300" w:lineRule="auto"/>
        <w:jc w:val="left"/>
        <w:rPr>
          <w:rFonts w:hint="eastAsia" w:asciiTheme="minorEastAsia" w:hAnsiTheme="minorEastAsia" w:eastAsiaTheme="minorEastAsia" w:cstheme="minorEastAsia"/>
          <w:color w:val="auto"/>
          <w:sz w:val="24"/>
          <w:szCs w:val="24"/>
          <w:highlight w:val="none"/>
        </w:rPr>
      </w:pPr>
    </w:p>
    <w:p>
      <w:pPr>
        <w:spacing w:line="300" w:lineRule="auto"/>
        <w:jc w:val="left"/>
        <w:rPr>
          <w:rFonts w:hint="eastAsia" w:asciiTheme="minorEastAsia" w:hAnsiTheme="minorEastAsia" w:eastAsiaTheme="minorEastAsia" w:cstheme="minorEastAsia"/>
          <w:color w:val="auto"/>
          <w:sz w:val="24"/>
          <w:szCs w:val="24"/>
          <w:highlight w:val="none"/>
        </w:rPr>
      </w:pPr>
    </w:p>
    <w:p>
      <w:pPr>
        <w:spacing w:line="300" w:lineRule="auto"/>
        <w:jc w:val="left"/>
        <w:rPr>
          <w:rFonts w:hint="eastAsia" w:asciiTheme="minorEastAsia" w:hAnsiTheme="minorEastAsia" w:eastAsiaTheme="minorEastAsia" w:cstheme="minorEastAsia"/>
          <w:color w:val="auto"/>
          <w:sz w:val="24"/>
          <w:szCs w:val="24"/>
          <w:highlight w:val="none"/>
        </w:rPr>
      </w:pPr>
    </w:p>
    <w:p>
      <w:pPr>
        <w:spacing w:line="30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注：享受政府采购支持政策的残疾人福利性单位应当同时满足以下条件：</w:t>
      </w:r>
    </w:p>
    <w:p>
      <w:pPr>
        <w:spacing w:line="30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（一）安置的残疾人占本单位在职职工人数的比例不低于25%（含25%），并且安置的残疾人人数不少于10 人（含10 人）；</w:t>
      </w:r>
    </w:p>
    <w:p>
      <w:pPr>
        <w:spacing w:line="30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（二）依法与安置的每位残疾人签订了一年以上（含一年）的劳动合同或服务协议；</w:t>
      </w:r>
    </w:p>
    <w:p>
      <w:pPr>
        <w:spacing w:line="30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（三）为安置的每位残疾人按月足额缴纳了基本养老保险、基本医疗保险、失业保险、工伤保险和生育保险等社会保险费；</w:t>
      </w:r>
    </w:p>
    <w:p>
      <w:pPr>
        <w:spacing w:line="30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（四）通过银行等金融机构向安置的每位残疾人，按月支付了不低于单位所在区县适用的经省级人民政府批准的月最低工资标准的工资；</w:t>
      </w:r>
    </w:p>
    <w:p>
      <w:pPr>
        <w:spacing w:line="30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（五）提供本单位制造的货物、承担的工程或者服务（以下简称产品），或者提供其他残疾人福利性单位制造的货物（不包括使用非残疾人福利性单位注册商标的货物）。</w:t>
      </w:r>
    </w:p>
    <w:p>
      <w:pPr>
        <w:spacing w:line="360" w:lineRule="auto"/>
        <w:jc w:val="center"/>
        <w:rPr>
          <w:rFonts w:hint="eastAsia" w:asciiTheme="minorEastAsia" w:hAnsiTheme="minorEastAsia" w:eastAsiaTheme="minorEastAsia" w:cstheme="minorEastAsia"/>
          <w:b/>
          <w:bCs/>
          <w:color w:val="auto"/>
          <w:kern w:val="0"/>
          <w:sz w:val="36"/>
          <w:szCs w:val="20"/>
          <w:highlight w:val="none"/>
        </w:rPr>
      </w:pPr>
      <w:r>
        <w:rPr>
          <w:rFonts w:hint="eastAsia" w:asciiTheme="minorEastAsia" w:hAnsiTheme="minorEastAsia" w:eastAsiaTheme="minorEastAsia" w:cstheme="minorEastAsia"/>
          <w:color w:val="auto"/>
          <w:szCs w:val="21"/>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color w:val="auto"/>
          <w:kern w:val="0"/>
          <w:sz w:val="36"/>
          <w:szCs w:val="20"/>
          <w:highlight w:val="none"/>
        </w:rPr>
        <w:t>监狱企业的证明文件（如有）</w:t>
      </w:r>
    </w:p>
    <w:p>
      <w:pPr>
        <w:jc w:val="center"/>
        <w:rPr>
          <w:rFonts w:hint="eastAsia" w:asciiTheme="minorEastAsia" w:hAnsiTheme="minorEastAsia" w:eastAsiaTheme="minorEastAsia" w:cstheme="minorEastAsia"/>
          <w:b/>
          <w:bCs/>
          <w:color w:val="auto"/>
          <w:kern w:val="0"/>
          <w:sz w:val="36"/>
          <w:szCs w:val="20"/>
          <w:highlight w:val="none"/>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说明：监狱企业参加政府采购活动时，应当提供由省级以上监狱管理局、戒毒管理局（含新疆生产建设兵团）出具的属于监狱企业的证明文件，并加盖投标单位公章。</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spacing w:line="360" w:lineRule="auto"/>
        <w:ind w:left="510"/>
        <w:jc w:val="center"/>
        <w:outlineLvl w:val="2"/>
        <w:rPr>
          <w:rFonts w:hint="eastAsia" w:ascii="宋体" w:hAnsi="宋体" w:cs="宋体"/>
          <w:b/>
          <w:sz w:val="24"/>
          <w:szCs w:val="24"/>
          <w:highlight w:val="none"/>
        </w:rPr>
      </w:pPr>
      <w:r>
        <w:rPr>
          <w:rFonts w:hint="eastAsia" w:ascii="宋体" w:hAnsi="宋体" w:cs="宋体"/>
          <w:b/>
          <w:sz w:val="24"/>
          <w:szCs w:val="24"/>
          <w:highlight w:val="none"/>
        </w:rPr>
        <w:t>退还磋商保证金声明</w:t>
      </w:r>
    </w:p>
    <w:p>
      <w:pPr>
        <w:spacing w:after="120" w:afterLines="50" w:line="360" w:lineRule="auto"/>
        <w:rPr>
          <w:rFonts w:hint="eastAsia" w:ascii="宋体" w:hAnsi="宋体" w:cs="宋体"/>
          <w:b/>
          <w:sz w:val="24"/>
          <w:szCs w:val="24"/>
          <w:highlight w:val="none"/>
        </w:rPr>
      </w:pPr>
      <w:r>
        <w:rPr>
          <w:rFonts w:hint="eastAsia" w:ascii="宋体" w:hAnsi="宋体" w:cs="宋体"/>
          <w:b/>
          <w:sz w:val="24"/>
          <w:szCs w:val="24"/>
          <w:highlight w:val="none"/>
        </w:rPr>
        <w:t>致：</w:t>
      </w:r>
      <w:r>
        <w:rPr>
          <w:rFonts w:hint="eastAsia" w:ascii="宋体" w:hAnsi="宋体" w:cs="宋体"/>
          <w:b/>
          <w:sz w:val="24"/>
          <w:szCs w:val="24"/>
          <w:highlight w:val="none"/>
          <w:u w:val="single"/>
          <w:lang w:eastAsia="zh-CN"/>
        </w:rPr>
        <w:t>广东远东招标代理有限公司</w:t>
      </w:r>
      <w:r>
        <w:rPr>
          <w:rFonts w:hint="eastAsia" w:ascii="宋体" w:hAnsi="宋体" w:cs="宋体"/>
          <w:b/>
          <w:sz w:val="24"/>
          <w:szCs w:val="24"/>
          <w:highlight w:val="non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我方已按“</w:t>
      </w:r>
      <w:r>
        <w:rPr>
          <w:rFonts w:hint="eastAsia" w:ascii="宋体" w:hAnsi="宋体" w:cs="宋体"/>
          <w:sz w:val="24"/>
          <w:szCs w:val="24"/>
          <w:highlight w:val="none"/>
          <w:lang w:eastAsia="zh-CN"/>
        </w:rPr>
        <w:t>2021年省、市在佛山挂牌的火灾高风险区域整治工作实地检查评估项目</w:t>
      </w:r>
      <w:r>
        <w:rPr>
          <w:rFonts w:hint="eastAsia" w:ascii="宋体" w:hAnsi="宋体" w:cs="宋体"/>
          <w:sz w:val="24"/>
          <w:szCs w:val="24"/>
          <w:highlight w:val="none"/>
        </w:rPr>
        <w:t xml:space="preserve"> ”（项目编号：</w:t>
      </w:r>
      <w:r>
        <w:rPr>
          <w:rFonts w:hint="eastAsia" w:ascii="宋体" w:hAnsi="宋体" w:cs="宋体"/>
          <w:sz w:val="24"/>
          <w:szCs w:val="24"/>
          <w:highlight w:val="none"/>
          <w:lang w:eastAsia="zh-CN"/>
        </w:rPr>
        <w:t>FEGD-ZT211328</w:t>
      </w:r>
      <w:r>
        <w:rPr>
          <w:rFonts w:hint="eastAsia" w:ascii="宋体" w:hAnsi="宋体" w:cs="宋体"/>
          <w:sz w:val="24"/>
          <w:szCs w:val="24"/>
          <w:highlight w:val="none"/>
        </w:rPr>
        <w:t>）的招标文件要求，于</w:t>
      </w:r>
      <w:r>
        <w:rPr>
          <w:rFonts w:hint="eastAsia" w:ascii="宋体" w:hAnsi="宋体" w:cs="宋体"/>
          <w:sz w:val="24"/>
          <w:szCs w:val="24"/>
          <w:highlight w:val="none"/>
          <w:u w:val="single"/>
        </w:rPr>
        <w:t xml:space="preserve">     年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日前以</w:t>
      </w:r>
      <w:r>
        <w:rPr>
          <w:rFonts w:hint="eastAsia" w:ascii="宋体" w:hAnsi="宋体" w:cs="宋体"/>
          <w:sz w:val="24"/>
          <w:szCs w:val="24"/>
          <w:highlight w:val="none"/>
          <w:u w:val="single"/>
        </w:rPr>
        <w:t xml:space="preserve">   （付款形式）   </w:t>
      </w:r>
      <w:r>
        <w:rPr>
          <w:rFonts w:hint="eastAsia" w:ascii="宋体" w:hAnsi="宋体" w:cs="宋体"/>
          <w:sz w:val="24"/>
          <w:szCs w:val="24"/>
          <w:highlight w:val="none"/>
        </w:rPr>
        <w:t>方式汇入指定帐户（帐户名称：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，帐号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,开户银行：</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本单位磋商保证金的转账情况如下：（详见附件－磋商保证金进帐单）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转账金额：（大写）人民币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帐户名称：</w:t>
      </w:r>
      <w:r>
        <w:rPr>
          <w:rFonts w:hint="eastAsia" w:ascii="宋体" w:hAnsi="宋体" w:cs="宋体"/>
          <w:sz w:val="24"/>
          <w:szCs w:val="24"/>
          <w:highlight w:val="none"/>
          <w:u w:val="single"/>
        </w:rPr>
        <w:t xml:space="preserve">     （必须是磋商响应时使用的帐户名）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帐    号：</w:t>
      </w:r>
      <w:r>
        <w:rPr>
          <w:rFonts w:hint="eastAsia" w:ascii="宋体" w:hAnsi="宋体" w:cs="宋体"/>
          <w:sz w:val="24"/>
          <w:szCs w:val="24"/>
          <w:highlight w:val="none"/>
          <w:u w:val="single"/>
        </w:rPr>
        <w:t xml:space="preserve">      （必须是磋商响应时使用的帐号）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省      市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本单位谨承诺上述资料是正确、真实的，如因上述证明与事实不符导致的一切损失，本单位保证承担赔偿等一切法律责任。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磋商保证金退回时，请按上述资料退回。</w:t>
      </w:r>
    </w:p>
    <w:p>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rPr>
        <w:t>响应供应商名称：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（盖响应供应商公章）</w:t>
      </w:r>
    </w:p>
    <w:p>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rPr>
        <w:t>单位地址：</w:t>
      </w:r>
      <w:r>
        <w:rPr>
          <w:rFonts w:hint="eastAsia" w:ascii="宋体" w:hAnsi="宋体" w:cs="宋体"/>
          <w:sz w:val="24"/>
          <w:szCs w:val="24"/>
          <w:highlight w:val="none"/>
          <w:u w:val="single"/>
        </w:rPr>
        <w:t xml:space="preserve">           </w:t>
      </w:r>
    </w:p>
    <w:p>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rPr>
        <w:t>联系人（财务人员）：</w:t>
      </w:r>
      <w:r>
        <w:rPr>
          <w:rFonts w:hint="eastAsia" w:ascii="宋体" w:hAnsi="宋体" w:cs="宋体"/>
          <w:sz w:val="24"/>
          <w:szCs w:val="24"/>
          <w:highlight w:val="none"/>
          <w:u w:val="single"/>
        </w:rPr>
        <w:t xml:space="preserve">                   </w:t>
      </w:r>
    </w:p>
    <w:p>
      <w:pPr>
        <w:spacing w:line="360" w:lineRule="auto"/>
        <w:ind w:firstLine="360" w:firstLineChars="150"/>
        <w:rPr>
          <w:rFonts w:hint="eastAsia" w:ascii="宋体" w:hAnsi="宋体" w:cs="宋体"/>
          <w:sz w:val="24"/>
          <w:szCs w:val="24"/>
          <w:highlight w:val="none"/>
          <w:u w:val="single"/>
        </w:rPr>
      </w:pPr>
      <w:r>
        <w:rPr>
          <w:rFonts w:hint="eastAsia" w:ascii="宋体" w:hAnsi="宋体" w:cs="宋体"/>
          <w:sz w:val="24"/>
          <w:szCs w:val="24"/>
          <w:highlight w:val="none"/>
        </w:rPr>
        <w:t>单位电话：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联系人手机：</w:t>
      </w:r>
      <w:r>
        <w:rPr>
          <w:rFonts w:hint="eastAsia" w:ascii="宋体" w:hAnsi="宋体" w:cs="宋体"/>
          <w:sz w:val="24"/>
          <w:szCs w:val="24"/>
          <w:highlight w:val="none"/>
          <w:u w:val="single"/>
        </w:rPr>
        <w:t xml:space="preserve">              </w:t>
      </w:r>
    </w:p>
    <w:p>
      <w:pPr>
        <w:spacing w:after="120" w:afterLines="50"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rPr>
        <w:t>日期：     年    月    日</w:t>
      </w:r>
    </w:p>
    <w:p>
      <w:pPr>
        <w:spacing w:line="360" w:lineRule="auto"/>
        <w:rPr>
          <w:rFonts w:hint="eastAsia" w:ascii="宋体" w:hAnsi="宋体" w:cs="宋体"/>
          <w:b/>
          <w:sz w:val="24"/>
          <w:szCs w:val="24"/>
          <w:highlight w:val="none"/>
        </w:rPr>
      </w:pPr>
      <w:r>
        <w:rPr>
          <w:rFonts w:hint="eastAsia" w:ascii="宋体" w:hAnsi="宋体" w:cs="宋体"/>
          <w:b/>
          <w:sz w:val="24"/>
          <w:szCs w:val="24"/>
          <w:highlight w:val="none"/>
        </w:rPr>
        <w:t>附：我方磋商保证金汇款凭证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9395" w:type="dxa"/>
            <w:noWrap w:val="0"/>
            <w:vAlign w:val="center"/>
          </w:tcPr>
          <w:p>
            <w:pPr>
              <w:spacing w:line="312" w:lineRule="auto"/>
              <w:jc w:val="center"/>
              <w:rPr>
                <w:rFonts w:hint="eastAsia" w:ascii="宋体" w:hAnsi="宋体" w:cs="宋体"/>
                <w:b/>
                <w:sz w:val="24"/>
                <w:szCs w:val="24"/>
                <w:highlight w:val="none"/>
              </w:rPr>
            </w:pPr>
            <w:r>
              <w:rPr>
                <w:rFonts w:hint="eastAsia" w:ascii="宋体" w:hAnsi="宋体" w:cs="宋体"/>
                <w:sz w:val="24"/>
                <w:szCs w:val="24"/>
                <w:highlight w:val="none"/>
              </w:rPr>
              <w:t>粘贴转账凭证复印件，或直接扫描到此张纸上，并加盖响应供应商公章</w:t>
            </w:r>
          </w:p>
        </w:tc>
      </w:tr>
    </w:tbl>
    <w:p>
      <w:pPr>
        <w:rPr>
          <w:rFonts w:hint="eastAsia" w:ascii="宋体" w:hAnsi="宋体" w:cs="宋体"/>
          <w:sz w:val="24"/>
          <w:szCs w:val="24"/>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tbl>
      <w:tblPr>
        <w:tblStyle w:val="24"/>
        <w:tblW w:w="9720" w:type="dxa"/>
        <w:tblInd w:w="93" w:type="dxa"/>
        <w:tblLayout w:type="fixed"/>
        <w:tblCellMar>
          <w:top w:w="0" w:type="dxa"/>
          <w:left w:w="108" w:type="dxa"/>
          <w:bottom w:w="0" w:type="dxa"/>
          <w:right w:w="108" w:type="dxa"/>
        </w:tblCellMar>
      </w:tblPr>
      <w:tblGrid>
        <w:gridCol w:w="3072"/>
        <w:gridCol w:w="1800"/>
        <w:gridCol w:w="4848"/>
      </w:tblGrid>
      <w:tr>
        <w:tblPrEx>
          <w:tblCellMar>
            <w:top w:w="0" w:type="dxa"/>
            <w:left w:w="108" w:type="dxa"/>
            <w:bottom w:w="0" w:type="dxa"/>
            <w:right w:w="108" w:type="dxa"/>
          </w:tblCellMar>
        </w:tblPrEx>
        <w:trPr>
          <w:trHeight w:val="840" w:hRule="atLeast"/>
        </w:trPr>
        <w:tc>
          <w:tcPr>
            <w:tcW w:w="9720" w:type="dxa"/>
            <w:gridSpan w:val="3"/>
            <w:tcBorders>
              <w:top w:val="nil"/>
              <w:left w:val="nil"/>
              <w:bottom w:val="nil"/>
              <w:right w:val="nil"/>
            </w:tcBorders>
            <w:noWrap/>
            <w:vAlign w:val="center"/>
          </w:tcPr>
          <w:p>
            <w:pPr>
              <w:jc w:val="center"/>
              <w:rPr>
                <w:rFonts w:hint="eastAsia" w:ascii="宋体" w:hAnsi="宋体" w:eastAsia="宋体" w:cs="宋体"/>
                <w:i w:val="0"/>
                <w:iCs w:val="0"/>
                <w:color w:val="000000"/>
                <w:sz w:val="40"/>
                <w:szCs w:val="40"/>
                <w:highlight w:val="none"/>
                <w:u w:val="none"/>
              </w:rPr>
            </w:pPr>
            <w:r>
              <w:rPr>
                <w:rFonts w:hint="eastAsia" w:ascii="宋体" w:hAnsi="宋体" w:cs="宋体"/>
                <w:b/>
                <w:bCs/>
                <w:szCs w:val="21"/>
                <w:highlight w:val="none"/>
              </w:rPr>
              <w:t>注：如采用响应担保函形式，须提交银行或担保机构出具的保函复印件（加盖公章），可不递交本声明。</w:t>
            </w:r>
            <w:r>
              <w:rPr>
                <w:rFonts w:hint="eastAsia" w:ascii="宋体" w:hAnsi="宋体" w:cs="宋体"/>
                <w:sz w:val="24"/>
                <w:szCs w:val="24"/>
                <w:highlight w:val="none"/>
              </w:rPr>
              <w:br w:type="page"/>
            </w:r>
            <w:r>
              <w:rPr>
                <w:rFonts w:hint="eastAsia" w:ascii="宋体" w:hAnsi="宋体" w:cs="宋体"/>
                <w:sz w:val="24"/>
                <w:szCs w:val="24"/>
                <w:highlight w:val="none"/>
              </w:rPr>
              <w:br w:type="page"/>
            </w:r>
            <w:r>
              <w:rPr>
                <w:rFonts w:hint="eastAsia" w:ascii="宋体" w:hAnsi="宋体" w:eastAsia="宋体" w:cs="宋体"/>
                <w:i w:val="0"/>
                <w:iCs w:val="0"/>
                <w:color w:val="000000"/>
                <w:kern w:val="0"/>
                <w:sz w:val="32"/>
                <w:szCs w:val="32"/>
                <w:highlight w:val="none"/>
                <w:u w:val="none"/>
                <w:lang w:val="en-US" w:eastAsia="zh-CN" w:bidi="ar"/>
              </w:rPr>
              <w:t>荷城街道公共资源交易所</w:t>
            </w:r>
            <w:r>
              <w:rPr>
                <w:rFonts w:hint="eastAsia" w:ascii="宋体" w:hAnsi="宋体" w:cs="宋体"/>
                <w:i w:val="0"/>
                <w:iCs w:val="0"/>
                <w:color w:val="000000"/>
                <w:kern w:val="0"/>
                <w:sz w:val="32"/>
                <w:szCs w:val="32"/>
                <w:highlight w:val="none"/>
                <w:u w:val="none"/>
                <w:lang w:val="en-US" w:eastAsia="zh-CN" w:bidi="ar"/>
              </w:rPr>
              <w:t>磋商保证金</w:t>
            </w:r>
            <w:r>
              <w:rPr>
                <w:rFonts w:hint="eastAsia" w:ascii="宋体" w:hAnsi="宋体" w:eastAsia="宋体" w:cs="宋体"/>
                <w:i w:val="0"/>
                <w:iCs w:val="0"/>
                <w:color w:val="000000"/>
                <w:kern w:val="0"/>
                <w:sz w:val="32"/>
                <w:szCs w:val="32"/>
                <w:highlight w:val="none"/>
                <w:u w:val="none"/>
                <w:lang w:val="en-US" w:eastAsia="zh-CN" w:bidi="ar"/>
              </w:rPr>
              <w:t>退回申请表</w:t>
            </w:r>
          </w:p>
        </w:tc>
      </w:tr>
      <w:tr>
        <w:tblPrEx>
          <w:tblCellMar>
            <w:top w:w="0" w:type="dxa"/>
            <w:left w:w="108" w:type="dxa"/>
            <w:bottom w:w="0" w:type="dxa"/>
            <w:right w:w="108" w:type="dxa"/>
          </w:tblCellMar>
        </w:tblPrEx>
        <w:trPr>
          <w:trHeight w:val="1020" w:hRule="atLeast"/>
        </w:trPr>
        <w:tc>
          <w:tcPr>
            <w:tcW w:w="3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 目 名 称</w:t>
            </w:r>
          </w:p>
        </w:tc>
        <w:tc>
          <w:tcPr>
            <w:tcW w:w="664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780" w:hRule="atLeast"/>
        </w:trPr>
        <w:tc>
          <w:tcPr>
            <w:tcW w:w="3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  目  编  号</w:t>
            </w:r>
          </w:p>
        </w:tc>
        <w:tc>
          <w:tcPr>
            <w:tcW w:w="664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960" w:hRule="atLeast"/>
        </w:trPr>
        <w:tc>
          <w:tcPr>
            <w:tcW w:w="3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投标（收款）单位</w:t>
            </w:r>
          </w:p>
        </w:tc>
        <w:tc>
          <w:tcPr>
            <w:tcW w:w="664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1200" w:hRule="atLeast"/>
        </w:trPr>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银行账号 （原提交</w:t>
            </w:r>
            <w:r>
              <w:rPr>
                <w:rFonts w:hint="eastAsia" w:ascii="宋体" w:hAnsi="宋体" w:cs="宋体"/>
                <w:i w:val="0"/>
                <w:iCs w:val="0"/>
                <w:color w:val="000000"/>
                <w:kern w:val="0"/>
                <w:sz w:val="24"/>
                <w:szCs w:val="24"/>
                <w:highlight w:val="none"/>
                <w:u w:val="none"/>
                <w:lang w:val="en-US" w:eastAsia="zh-CN" w:bidi="ar"/>
              </w:rPr>
              <w:t>磋商保证金</w:t>
            </w:r>
            <w:r>
              <w:rPr>
                <w:rFonts w:hint="eastAsia" w:ascii="宋体" w:hAnsi="宋体" w:eastAsia="宋体" w:cs="宋体"/>
                <w:i w:val="0"/>
                <w:iCs w:val="0"/>
                <w:color w:val="000000"/>
                <w:kern w:val="0"/>
                <w:sz w:val="24"/>
                <w:szCs w:val="24"/>
                <w:highlight w:val="none"/>
                <w:u w:val="none"/>
                <w:lang w:val="en-US" w:eastAsia="zh-CN" w:bidi="ar"/>
              </w:rPr>
              <w:t>账号）</w:t>
            </w:r>
          </w:p>
        </w:tc>
        <w:tc>
          <w:tcPr>
            <w:tcW w:w="664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780" w:hRule="atLeast"/>
        </w:trPr>
        <w:tc>
          <w:tcPr>
            <w:tcW w:w="3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 户 银 行 全 称</w:t>
            </w:r>
          </w:p>
        </w:tc>
        <w:tc>
          <w:tcPr>
            <w:tcW w:w="664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780" w:hRule="atLeast"/>
        </w:trPr>
        <w:tc>
          <w:tcPr>
            <w:tcW w:w="307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退付金额(元)</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大写</w:t>
            </w:r>
          </w:p>
        </w:tc>
        <w:tc>
          <w:tcPr>
            <w:tcW w:w="48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780" w:hRule="atLeast"/>
        </w:trPr>
        <w:tc>
          <w:tcPr>
            <w:tcW w:w="30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小写</w:t>
            </w:r>
          </w:p>
        </w:tc>
        <w:tc>
          <w:tcPr>
            <w:tcW w:w="48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2470" w:hRule="atLeast"/>
        </w:trPr>
        <w:tc>
          <w:tcPr>
            <w:tcW w:w="3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经办人：</w:t>
            </w:r>
          </w:p>
        </w:tc>
        <w:tc>
          <w:tcPr>
            <w:tcW w:w="664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投标单位（公章）</w:t>
            </w:r>
          </w:p>
        </w:tc>
      </w:tr>
      <w:tr>
        <w:tblPrEx>
          <w:tblCellMar>
            <w:top w:w="0" w:type="dxa"/>
            <w:left w:w="108" w:type="dxa"/>
            <w:bottom w:w="0" w:type="dxa"/>
            <w:right w:w="108" w:type="dxa"/>
          </w:tblCellMar>
        </w:tblPrEx>
        <w:trPr>
          <w:trHeight w:val="660" w:hRule="atLeast"/>
        </w:trPr>
        <w:tc>
          <w:tcPr>
            <w:tcW w:w="3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  系  人</w:t>
            </w:r>
          </w:p>
        </w:tc>
        <w:tc>
          <w:tcPr>
            <w:tcW w:w="664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640" w:hRule="atLeast"/>
        </w:trPr>
        <w:tc>
          <w:tcPr>
            <w:tcW w:w="3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 系 电 话</w:t>
            </w:r>
          </w:p>
        </w:tc>
        <w:tc>
          <w:tcPr>
            <w:tcW w:w="664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920" w:hRule="atLeast"/>
        </w:trPr>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 请 日 期                   （递交此表的当天）</w:t>
            </w:r>
          </w:p>
        </w:tc>
        <w:tc>
          <w:tcPr>
            <w:tcW w:w="664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735" w:hRule="atLeast"/>
        </w:trPr>
        <w:tc>
          <w:tcPr>
            <w:tcW w:w="9720" w:type="dxa"/>
            <w:gridSpan w:val="3"/>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注：以上内容须由投标人如实填写，于开标结果公告后递交荷城公共资源交易所财务工作人员。</w:t>
            </w:r>
          </w:p>
        </w:tc>
      </w:tr>
    </w:tbl>
    <w:p>
      <w:pPr>
        <w:rPr>
          <w:rFonts w:hint="eastAsia" w:ascii="宋体" w:hAnsi="宋体" w:cs="宋体"/>
          <w:sz w:val="24"/>
          <w:szCs w:val="24"/>
          <w:highlight w:val="none"/>
        </w:rPr>
      </w:pPr>
    </w:p>
    <w:p>
      <w:pPr>
        <w:rPr>
          <w:rFonts w:hint="eastAsia" w:ascii="宋体" w:hAnsi="宋体" w:cs="宋体"/>
          <w:b/>
          <w:color w:val="000000"/>
          <w:kern w:val="0"/>
          <w:sz w:val="36"/>
          <w:szCs w:val="44"/>
          <w:highlight w:val="none"/>
        </w:rPr>
      </w:pPr>
      <w:r>
        <w:rPr>
          <w:rFonts w:hint="eastAsia" w:ascii="宋体" w:hAnsi="宋体" w:cs="宋体"/>
          <w:b/>
          <w:color w:val="000000"/>
          <w:kern w:val="0"/>
          <w:sz w:val="36"/>
          <w:szCs w:val="44"/>
          <w:highlight w:val="none"/>
        </w:rPr>
        <w:br w:type="page"/>
      </w:r>
    </w:p>
    <w:p>
      <w:pPr>
        <w:keepNext/>
        <w:keepLines/>
        <w:snapToGrid w:val="0"/>
        <w:jc w:val="center"/>
        <w:rPr>
          <w:rFonts w:hint="eastAsia" w:ascii="宋体" w:hAnsi="宋体" w:cs="宋体"/>
          <w:kern w:val="0"/>
          <w:sz w:val="36"/>
          <w:szCs w:val="36"/>
          <w:highlight w:val="none"/>
        </w:rPr>
      </w:pPr>
      <w:r>
        <w:rPr>
          <w:rFonts w:hint="eastAsia" w:ascii="宋体" w:hAnsi="宋体" w:cs="宋体"/>
          <w:b/>
          <w:color w:val="000000"/>
          <w:kern w:val="0"/>
          <w:sz w:val="36"/>
          <w:szCs w:val="44"/>
          <w:highlight w:val="none"/>
        </w:rPr>
        <w:t>政府采购磋商</w:t>
      </w:r>
      <w:r>
        <w:rPr>
          <w:rFonts w:hint="eastAsia" w:ascii="宋体" w:hAnsi="宋体" w:cs="宋体"/>
          <w:b/>
          <w:kern w:val="0"/>
          <w:sz w:val="36"/>
          <w:szCs w:val="44"/>
          <w:highlight w:val="none"/>
        </w:rPr>
        <w:t>响应担保函</w:t>
      </w:r>
    </w:p>
    <w:p>
      <w:pPr>
        <w:snapToGrid w:val="0"/>
        <w:spacing w:line="312" w:lineRule="auto"/>
        <w:jc w:val="center"/>
        <w:rPr>
          <w:rFonts w:hint="eastAsia" w:ascii="宋体" w:hAnsi="宋体" w:cs="宋体"/>
          <w:b/>
          <w:highlight w:val="none"/>
        </w:rPr>
      </w:pPr>
      <w:r>
        <w:rPr>
          <w:rFonts w:hint="eastAsia" w:ascii="宋体" w:hAnsi="宋体" w:cs="宋体"/>
          <w:b/>
          <w:highlight w:val="none"/>
        </w:rPr>
        <w:t>（若用电汇、转账方式缴纳磋商保证金，可不递交该响应担保函）</w:t>
      </w:r>
    </w:p>
    <w:p>
      <w:pPr>
        <w:spacing w:line="288" w:lineRule="auto"/>
        <w:rPr>
          <w:rFonts w:hint="eastAsia" w:ascii="宋体" w:hAnsi="宋体" w:cs="宋体"/>
          <w:szCs w:val="21"/>
          <w:highlight w:val="none"/>
        </w:rPr>
      </w:pPr>
      <w:r>
        <w:rPr>
          <w:rFonts w:hint="eastAsia" w:ascii="宋体" w:hAnsi="宋体" w:cs="宋体"/>
          <w:szCs w:val="21"/>
          <w:highlight w:val="none"/>
        </w:rPr>
        <w:t>（采购人或采购代理机构）：</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鉴于</w:t>
      </w:r>
      <w:r>
        <w:rPr>
          <w:rFonts w:hint="eastAsia" w:ascii="宋体" w:hAnsi="宋体" w:cs="宋体"/>
          <w:szCs w:val="21"/>
          <w:highlight w:val="none"/>
          <w:u w:val="single"/>
        </w:rPr>
        <w:t xml:space="preserve">    </w:t>
      </w:r>
      <w:r>
        <w:rPr>
          <w:rFonts w:hint="eastAsia" w:ascii="宋体" w:hAnsi="宋体" w:cs="宋体"/>
          <w:szCs w:val="21"/>
          <w:highlight w:val="none"/>
        </w:rPr>
        <w:t>（以下简称‘响应供应商’）拟参加</w:t>
      </w:r>
      <w:r>
        <w:rPr>
          <w:rFonts w:hint="eastAsia" w:ascii="宋体" w:hAnsi="宋体" w:cs="宋体"/>
          <w:szCs w:val="21"/>
          <w:highlight w:val="none"/>
          <w:u w:val="single"/>
        </w:rPr>
        <w:t xml:space="preserve">         （</w:t>
      </w:r>
      <w:r>
        <w:rPr>
          <w:rFonts w:hint="eastAsia" w:ascii="宋体" w:hAnsi="宋体" w:cs="宋体"/>
          <w:szCs w:val="21"/>
          <w:highlight w:val="none"/>
        </w:rPr>
        <w:t>项目编号：</w:t>
      </w:r>
      <w:r>
        <w:rPr>
          <w:rFonts w:hint="eastAsia" w:ascii="宋体" w:hAnsi="宋体" w:cs="宋体"/>
          <w:szCs w:val="21"/>
          <w:highlight w:val="none"/>
          <w:u w:val="single"/>
        </w:rPr>
        <w:t xml:space="preserve">    </w:t>
      </w:r>
      <w:r>
        <w:rPr>
          <w:rFonts w:hint="eastAsia" w:ascii="宋体" w:hAnsi="宋体" w:cs="宋体"/>
          <w:szCs w:val="21"/>
          <w:highlight w:val="none"/>
        </w:rPr>
        <w:t>）（以下简称‘本项目’）磋商响应活动，根据本项目招标文件，响应供应商参加磋商响应时应向你方缴纳磋商保证金，且可以响应担保函的形式缴纳磋商保证金。应响应供应商的申请，我方以保证的方式向你方提供如下磋商保证金担保：</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一、保证责任的情形及保证金额</w:t>
      </w:r>
    </w:p>
    <w:p>
      <w:pPr>
        <w:spacing w:line="288" w:lineRule="auto"/>
        <w:ind w:firstLine="210" w:firstLineChars="100"/>
        <w:rPr>
          <w:rFonts w:hint="eastAsia" w:ascii="宋体" w:hAnsi="宋体" w:cs="宋体"/>
          <w:szCs w:val="21"/>
          <w:highlight w:val="none"/>
        </w:rPr>
      </w:pPr>
      <w:r>
        <w:rPr>
          <w:rFonts w:hint="eastAsia" w:ascii="宋体" w:hAnsi="宋体" w:cs="宋体"/>
          <w:szCs w:val="21"/>
          <w:highlight w:val="none"/>
        </w:rPr>
        <w:t>（一）在响应供应商出现下列情形之一时，我方承担保证责任：</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1．中选后响应供应商无正当理由不与采购人或者采购代理机构签订《政府采购合同》；</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2．招标文件规定的响应供应商应当缴纳保证金的其他情形。</w:t>
      </w:r>
    </w:p>
    <w:p>
      <w:pPr>
        <w:spacing w:line="288" w:lineRule="auto"/>
        <w:ind w:firstLine="210" w:firstLineChars="100"/>
        <w:rPr>
          <w:rFonts w:hint="eastAsia" w:ascii="宋体" w:hAnsi="宋体" w:cs="宋体"/>
          <w:szCs w:val="21"/>
          <w:highlight w:val="none"/>
        </w:rPr>
      </w:pPr>
      <w:r>
        <w:rPr>
          <w:rFonts w:hint="eastAsia" w:ascii="宋体" w:hAnsi="宋体" w:cs="宋体"/>
          <w:szCs w:val="21"/>
          <w:highlight w:val="none"/>
        </w:rPr>
        <w:t>（二）我方承担保证责任的最高金额为人民币</w:t>
      </w:r>
      <w:r>
        <w:rPr>
          <w:rFonts w:hint="eastAsia" w:ascii="宋体" w:hAnsi="宋体" w:cs="宋体"/>
          <w:szCs w:val="21"/>
          <w:highlight w:val="none"/>
          <w:u w:val="single"/>
        </w:rPr>
        <w:t>　　　</w:t>
      </w:r>
      <w:r>
        <w:rPr>
          <w:rFonts w:hint="eastAsia" w:ascii="宋体" w:hAnsi="宋体" w:cs="宋体"/>
          <w:szCs w:val="21"/>
          <w:highlight w:val="none"/>
        </w:rPr>
        <w:t>元（大写：</w:t>
      </w:r>
      <w:r>
        <w:rPr>
          <w:rFonts w:hint="eastAsia" w:ascii="宋体" w:hAnsi="宋体" w:cs="宋体"/>
          <w:szCs w:val="21"/>
          <w:highlight w:val="none"/>
          <w:u w:val="single"/>
        </w:rPr>
        <w:t>　　　</w:t>
      </w:r>
      <w:r>
        <w:rPr>
          <w:rFonts w:hint="eastAsia" w:ascii="宋体" w:hAnsi="宋体" w:cs="宋体"/>
          <w:szCs w:val="21"/>
          <w:highlight w:val="none"/>
        </w:rPr>
        <w:t>），即本项目的磋商保证金金额。</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二、保证的方式及保证期间</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我方保证的方式为：连带责任保证。</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我方的保证期间为：自本保函生效之日起</w:t>
      </w:r>
      <w:r>
        <w:rPr>
          <w:rFonts w:hint="eastAsia" w:ascii="宋体" w:hAnsi="宋体" w:cs="宋体"/>
          <w:szCs w:val="21"/>
          <w:highlight w:val="none"/>
          <w:u w:val="single"/>
        </w:rPr>
        <w:t>　　　</w:t>
      </w:r>
      <w:r>
        <w:rPr>
          <w:rFonts w:hint="eastAsia" w:ascii="宋体" w:hAnsi="宋体" w:cs="宋体"/>
          <w:szCs w:val="21"/>
          <w:highlight w:val="none"/>
        </w:rPr>
        <w:t>个月止。</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三、承担保证责任的程序</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1．你方要求我方承担保证责任的，应在本保函保证期间内向我方发出书面索赔通知。索赔通知应写明要求索赔的金额，支付款项应到达的账号，并附有证明响应供应商发生我方应承担保证责任情形的事实材料。</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2．我方在收到索赔通知及相关证明材料后，在</w:t>
      </w:r>
      <w:r>
        <w:rPr>
          <w:rFonts w:hint="eastAsia" w:ascii="宋体" w:hAnsi="宋体" w:cs="宋体"/>
          <w:szCs w:val="21"/>
          <w:highlight w:val="none"/>
          <w:u w:val="single"/>
        </w:rPr>
        <w:t>　　　</w:t>
      </w:r>
      <w:r>
        <w:rPr>
          <w:rFonts w:hint="eastAsia" w:ascii="宋体" w:hAnsi="宋体" w:cs="宋体"/>
          <w:szCs w:val="21"/>
          <w:highlight w:val="none"/>
        </w:rPr>
        <w:t>个工作日内进行审查，符合应承担保证责任情形的，我方应按照你方的要求代响应供应商向你方支付磋商保证金。</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四、保证责任的终止</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1．保证期间届满你方未向我方书面主张保证责任的，自保证期间届满次日起，我方保证责任自动终止。</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2．我方按照本保函向你贵方履行了保证责任后，自我方向你贵方支付款项（支付款项从我方账户划出）之日起，保证责任终止。</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3．按照法律法规的规定或出现我方保证责任终止的其它情形的，我方在本保函项下的保证责任亦终止。</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五、免责条款</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1．依照法律规定或你方与响应供应商的另行约定，全部或者部分免除响应供应商磋商保证金义务时，我方亦免除相应的保证责任。</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2．因你方原因致使响应供应商发生本保函第一条第（一）款约定情形的，我方不承担保证责任。</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3．因不可抗力造成响应供应商发生本保函第一条约定情形的，我方不承担保证责任。</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4．你方或其他有权机关对磋商文件进行任何澄清或修改，加重我方保证责任的，我方对加重部分不承担保证责任，但该澄清或修改经我方事先书面同意的除外。</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六、争议的解决</w:t>
      </w:r>
    </w:p>
    <w:p>
      <w:pPr>
        <w:spacing w:line="288" w:lineRule="auto"/>
        <w:ind w:left="315" w:leftChars="150"/>
        <w:rPr>
          <w:rFonts w:hint="eastAsia" w:ascii="宋体" w:hAnsi="宋体" w:cs="宋体"/>
          <w:szCs w:val="21"/>
          <w:highlight w:val="none"/>
        </w:rPr>
      </w:pPr>
      <w:r>
        <w:rPr>
          <w:rFonts w:hint="eastAsia" w:ascii="宋体" w:hAnsi="宋体" w:cs="宋体"/>
          <w:szCs w:val="21"/>
          <w:highlight w:val="none"/>
        </w:rPr>
        <w:t>因本保函发生的纠纷，由你我双方协商解决，协商不成的，通过诉讼程序解决，诉讼管辖地的法院为</w:t>
      </w:r>
      <w:r>
        <w:rPr>
          <w:rFonts w:hint="eastAsia" w:ascii="宋体" w:hAnsi="宋体" w:cs="宋体"/>
          <w:szCs w:val="21"/>
          <w:highlight w:val="none"/>
          <w:u w:val="single"/>
        </w:rPr>
        <w:t xml:space="preserve">     </w:t>
      </w:r>
      <w:r>
        <w:rPr>
          <w:rFonts w:hint="eastAsia" w:ascii="宋体" w:hAnsi="宋体" w:cs="宋体"/>
          <w:szCs w:val="21"/>
          <w:highlight w:val="none"/>
        </w:rPr>
        <w:t>法院。</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七、保函的生效</w:t>
      </w:r>
    </w:p>
    <w:p>
      <w:pPr>
        <w:spacing w:line="288" w:lineRule="auto"/>
        <w:ind w:firstLine="420" w:firstLineChars="200"/>
        <w:rPr>
          <w:rFonts w:hint="eastAsia" w:ascii="宋体" w:hAnsi="宋体" w:cs="宋体"/>
          <w:szCs w:val="21"/>
          <w:highlight w:val="none"/>
        </w:rPr>
      </w:pPr>
      <w:r>
        <w:rPr>
          <w:rFonts w:hint="eastAsia" w:ascii="宋体" w:hAnsi="宋体" w:cs="宋体"/>
          <w:szCs w:val="21"/>
          <w:highlight w:val="none"/>
        </w:rPr>
        <w:t>本保函自我方加盖公章之日起生效。</w:t>
      </w:r>
    </w:p>
    <w:p>
      <w:pPr>
        <w:spacing w:line="312" w:lineRule="auto"/>
        <w:ind w:firstLine="5565" w:firstLineChars="2650"/>
        <w:rPr>
          <w:rFonts w:hint="eastAsia" w:ascii="宋体" w:hAnsi="宋体" w:cs="宋体"/>
          <w:szCs w:val="21"/>
          <w:highlight w:val="none"/>
        </w:rPr>
      </w:pPr>
    </w:p>
    <w:p>
      <w:pPr>
        <w:spacing w:line="312" w:lineRule="auto"/>
        <w:ind w:firstLine="5565" w:firstLineChars="2650"/>
        <w:rPr>
          <w:rFonts w:hint="eastAsia" w:ascii="宋体" w:hAnsi="宋体" w:cs="宋体"/>
          <w:szCs w:val="21"/>
          <w:highlight w:val="none"/>
        </w:rPr>
      </w:pPr>
      <w:r>
        <w:rPr>
          <w:rFonts w:hint="eastAsia" w:ascii="宋体" w:hAnsi="宋体" w:cs="宋体"/>
          <w:szCs w:val="21"/>
          <w:highlight w:val="none"/>
        </w:rPr>
        <w:t>保证人：</w:t>
      </w:r>
      <w:r>
        <w:rPr>
          <w:rFonts w:hint="eastAsia" w:ascii="宋体" w:hAnsi="宋体" w:cs="宋体"/>
          <w:szCs w:val="21"/>
          <w:highlight w:val="none"/>
          <w:u w:val="single"/>
        </w:rPr>
        <w:t xml:space="preserve">          </w:t>
      </w:r>
      <w:r>
        <w:rPr>
          <w:rFonts w:hint="eastAsia" w:ascii="宋体" w:hAnsi="宋体" w:cs="宋体"/>
          <w:szCs w:val="21"/>
          <w:highlight w:val="none"/>
        </w:rPr>
        <w:t>（公章）</w:t>
      </w:r>
    </w:p>
    <w:p>
      <w:pPr>
        <w:spacing w:line="312" w:lineRule="auto"/>
        <w:ind w:right="420" w:firstLine="5565" w:firstLineChars="2650"/>
        <w:rPr>
          <w:rFonts w:hint="eastAsia" w:ascii="宋体" w:hAnsi="宋体" w:cs="宋体"/>
          <w:sz w:val="24"/>
          <w:szCs w:val="24"/>
          <w:highlight w:val="none"/>
        </w:rPr>
      </w:pPr>
      <w:r>
        <w:rPr>
          <w:rFonts w:hint="eastAsia" w:ascii="宋体" w:hAnsi="宋体" w:cs="宋体"/>
          <w:szCs w:val="21"/>
          <w:highlight w:val="none"/>
        </w:rPr>
        <w:t>年     月      日</w:t>
      </w:r>
    </w:p>
    <w:p>
      <w:pPr>
        <w:pStyle w:val="20"/>
        <w:rPr>
          <w:rFonts w:hint="eastAsia"/>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30"/>
        <w:rPr>
          <w:rFonts w:hint="eastAsia" w:asciiTheme="minorEastAsia" w:hAnsiTheme="minorEastAsia" w:eastAsiaTheme="minorEastAsia" w:cstheme="minorEastAsia"/>
          <w:color w:val="auto"/>
          <w:highlight w:val="none"/>
        </w:rPr>
        <w:sectPr>
          <w:headerReference r:id="rId26" w:type="default"/>
          <w:pgSz w:w="11906" w:h="16838"/>
          <w:pgMar w:top="1440" w:right="1080" w:bottom="1440" w:left="1080" w:header="567" w:footer="737" w:gutter="0"/>
          <w:pgNumType w:fmt="decimal"/>
          <w:cols w:space="720" w:num="1"/>
          <w:docGrid w:linePitch="312" w:charSpace="0"/>
        </w:sectPr>
      </w:pPr>
    </w:p>
    <w:bookmarkEnd w:id="504"/>
    <w:bookmarkEnd w:id="505"/>
    <w:bookmarkEnd w:id="506"/>
    <w:bookmarkEnd w:id="507"/>
    <w:bookmarkEnd w:id="508"/>
    <w:bookmarkEnd w:id="509"/>
    <w:bookmarkEnd w:id="510"/>
    <w:bookmarkEnd w:id="542"/>
    <w:p>
      <w:pPr>
        <w:pStyle w:val="9"/>
        <w:pageBreakBefore/>
        <w:spacing w:after="120" w:afterLines="0"/>
        <w:ind w:left="-6"/>
        <w:rPr>
          <w:rFonts w:hint="eastAsia" w:asciiTheme="minorEastAsia" w:hAnsiTheme="minorEastAsia" w:eastAsiaTheme="minorEastAsia" w:cstheme="minorEastAsia"/>
          <w:b w:val="0"/>
          <w:bCs/>
          <w:color w:val="auto"/>
          <w:sz w:val="36"/>
          <w:highlight w:val="none"/>
        </w:rPr>
      </w:pPr>
      <w:bookmarkStart w:id="543" w:name="_Toc49329276"/>
      <w:bookmarkStart w:id="544" w:name="_Toc38337722"/>
      <w:bookmarkStart w:id="545" w:name="_Toc9675"/>
      <w:bookmarkStart w:id="546" w:name="_Toc419106587"/>
      <w:bookmarkStart w:id="547" w:name="_Toc24768"/>
      <w:bookmarkStart w:id="548" w:name="_Toc310519909"/>
      <w:bookmarkStart w:id="549" w:name="_Toc373767224"/>
      <w:bookmarkStart w:id="550" w:name="_Toc22927"/>
      <w:bookmarkStart w:id="551" w:name="_Toc325031964"/>
      <w:r>
        <w:rPr>
          <w:rFonts w:hint="eastAsia" w:asciiTheme="minorEastAsia" w:hAnsiTheme="minorEastAsia" w:eastAsiaTheme="minorEastAsia" w:cstheme="minorEastAsia"/>
          <w:b w:val="0"/>
          <w:bCs/>
          <w:color w:val="auto"/>
          <w:sz w:val="36"/>
          <w:highlight w:val="none"/>
        </w:rPr>
        <w:t>文件包装袋</w:t>
      </w:r>
      <w:bookmarkEnd w:id="543"/>
      <w:bookmarkEnd w:id="544"/>
      <w:r>
        <w:rPr>
          <w:rFonts w:hint="eastAsia" w:asciiTheme="minorEastAsia" w:hAnsiTheme="minorEastAsia" w:eastAsiaTheme="minorEastAsia" w:cstheme="minorEastAsia"/>
          <w:b w:val="0"/>
          <w:bCs/>
          <w:color w:val="auto"/>
          <w:sz w:val="36"/>
          <w:highlight w:val="none"/>
        </w:rPr>
        <w:t>封面标贴格式</w:t>
      </w:r>
      <w:bookmarkEnd w:id="545"/>
      <w:bookmarkEnd w:id="546"/>
      <w:bookmarkEnd w:id="547"/>
      <w:bookmarkEnd w:id="548"/>
      <w:bookmarkEnd w:id="549"/>
      <w:bookmarkEnd w:id="550"/>
      <w:bookmarkEnd w:id="551"/>
    </w:p>
    <w:tbl>
      <w:tblPr>
        <w:tblStyle w:val="24"/>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noWrap w:val="0"/>
            <w:vAlign w:val="top"/>
          </w:tcPr>
          <w:p>
            <w:pPr>
              <w:snapToGrid w:val="0"/>
              <w:jc w:val="center"/>
              <w:rPr>
                <w:rFonts w:hint="eastAsia" w:asciiTheme="minorEastAsia" w:hAnsiTheme="minorEastAsia" w:eastAsiaTheme="minorEastAsia" w:cstheme="minorEastAsia"/>
                <w:b/>
                <w:color w:val="auto"/>
                <w:sz w:val="30"/>
                <w:highlight w:val="none"/>
              </w:rPr>
            </w:pPr>
          </w:p>
          <w:p>
            <w:pPr>
              <w:pStyle w:val="13"/>
              <w:spacing w:line="360" w:lineRule="auto"/>
              <w:jc w:val="center"/>
              <w:rPr>
                <w:rFonts w:hint="eastAsia" w:asciiTheme="minorEastAsia" w:hAnsiTheme="minorEastAsia" w:eastAsiaTheme="minorEastAsia" w:cstheme="minorEastAsia"/>
                <w:b/>
                <w:bCs/>
                <w:color w:val="auto"/>
                <w:kern w:val="2"/>
                <w:sz w:val="48"/>
                <w:szCs w:val="24"/>
                <w:highlight w:val="none"/>
                <w:lang w:val="en-US" w:eastAsia="zh-CN"/>
              </w:rPr>
            </w:pPr>
            <w:r>
              <w:rPr>
                <w:rFonts w:hint="eastAsia" w:asciiTheme="minorEastAsia" w:hAnsiTheme="minorEastAsia" w:eastAsiaTheme="minorEastAsia" w:cstheme="minorEastAsia"/>
                <w:b/>
                <w:bCs/>
                <w:color w:val="auto"/>
                <w:kern w:val="2"/>
                <w:sz w:val="48"/>
                <w:szCs w:val="24"/>
                <w:highlight w:val="none"/>
                <w:lang w:val="en-US" w:eastAsia="zh-CN"/>
              </w:rPr>
              <w:t>采购项目响应文件</w:t>
            </w:r>
          </w:p>
          <w:p>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密封内容：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 xml:space="preserve">报价信封 /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正、副本响应文件</w:t>
            </w:r>
          </w:p>
          <w:p>
            <w:pPr>
              <w:jc w:val="center"/>
              <w:rPr>
                <w:rFonts w:hint="eastAsia" w:asciiTheme="minorEastAsia" w:hAnsiTheme="minorEastAsia" w:eastAsiaTheme="minorEastAsia" w:cstheme="minorEastAsia"/>
                <w:b/>
                <w:color w:val="auto"/>
                <w:sz w:val="11"/>
                <w:szCs w:val="11"/>
                <w:highlight w:val="none"/>
              </w:rPr>
            </w:pPr>
          </w:p>
          <w:p>
            <w:pPr>
              <w:spacing w:line="360" w:lineRule="auto"/>
              <w:ind w:left="176" w:leftChars="84" w:firstLine="964" w:firstLineChars="400"/>
              <w:rPr>
                <w:rFonts w:hint="eastAsia" w:asciiTheme="minorEastAsia" w:hAnsiTheme="minorEastAsia" w:eastAsiaTheme="minorEastAsia" w:cstheme="minorEastAsia"/>
                <w:b/>
                <w:bCs/>
                <w:color w:val="auto"/>
                <w:sz w:val="24"/>
                <w:highlight w:val="none"/>
                <w:u w:val="single"/>
                <w:lang w:val="en-US" w:eastAsia="zh-CN"/>
              </w:rPr>
            </w:pPr>
            <w:r>
              <w:rPr>
                <w:rFonts w:hint="eastAsia" w:asciiTheme="minorEastAsia" w:hAnsiTheme="minorEastAsia" w:eastAsiaTheme="minorEastAsia" w:cstheme="minorEastAsia"/>
                <w:b/>
                <w:bCs/>
                <w:color w:val="auto"/>
                <w:sz w:val="24"/>
                <w:highlight w:val="none"/>
              </w:rPr>
              <w:t>供应商名称：</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dotted"/>
                <w:lang w:val="en-US" w:eastAsia="zh-CN"/>
              </w:rPr>
              <w:t xml:space="preserve"> </w:t>
            </w:r>
          </w:p>
          <w:p>
            <w:pPr>
              <w:spacing w:line="360" w:lineRule="auto"/>
              <w:ind w:left="176" w:leftChars="84" w:firstLine="960" w:firstLineChars="4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b/>
                <w:color w:val="auto"/>
                <w:highlight w:val="none"/>
                <w:u w:val="dotted"/>
                <w:lang w:eastAsia="zh-CN"/>
              </w:rPr>
              <w:t>FEGD-ZT211328</w:t>
            </w:r>
            <w:r>
              <w:rPr>
                <w:rFonts w:hint="eastAsia" w:asciiTheme="minorEastAsia" w:hAnsiTheme="minorEastAsia" w:eastAsiaTheme="minorEastAsia" w:cstheme="minorEastAsia"/>
                <w:color w:val="auto"/>
                <w:highlight w:val="none"/>
                <w:u w:val="dotted"/>
              </w:rPr>
              <w:t xml:space="preserve">       </w:t>
            </w:r>
            <w:r>
              <w:rPr>
                <w:rFonts w:hint="eastAsia" w:asciiTheme="minorEastAsia" w:hAnsiTheme="minorEastAsia" w:eastAsiaTheme="minorEastAsia" w:cstheme="minorEastAsia"/>
                <w:color w:val="auto"/>
                <w:sz w:val="24"/>
                <w:highlight w:val="none"/>
                <w:u w:val="dotted"/>
              </w:rPr>
              <w:t xml:space="preserve">                </w:t>
            </w:r>
          </w:p>
          <w:p>
            <w:pPr>
              <w:spacing w:line="360" w:lineRule="auto"/>
              <w:ind w:left="2334" w:leftChars="540" w:hanging="1200" w:hangingChars="5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b/>
                <w:color w:val="auto"/>
                <w:highlight w:val="none"/>
                <w:u w:val="dotted"/>
                <w:lang w:eastAsia="zh-CN"/>
              </w:rPr>
              <w:t>2021年省、市在佛山挂牌的火灾高风险区域整治工作实地检查评估项目</w:t>
            </w:r>
            <w:r>
              <w:rPr>
                <w:rFonts w:hint="eastAsia" w:asciiTheme="minorEastAsia" w:hAnsiTheme="minorEastAsia" w:eastAsiaTheme="minorEastAsia" w:cstheme="minorEastAsia"/>
                <w:b/>
                <w:color w:val="auto"/>
                <w:highlight w:val="none"/>
                <w:u w:val="dotted"/>
              </w:rPr>
              <w:t xml:space="preserve">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DOCVARIABLE  项目名称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 w:val="24"/>
                <w:highlight w:val="none"/>
                <w:u w:val="dotted"/>
              </w:rPr>
              <w:t xml:space="preserve"> </w:t>
            </w:r>
          </w:p>
          <w:p>
            <w:pPr>
              <w:jc w:val="center"/>
              <w:rPr>
                <w:rFonts w:hint="eastAsia" w:asciiTheme="minorEastAsia" w:hAnsiTheme="minorEastAsia" w:eastAsiaTheme="minorEastAsia" w:cstheme="minorEastAsia"/>
                <w:b/>
                <w:bCs/>
                <w:color w:val="auto"/>
                <w:highlight w:val="none"/>
              </w:rPr>
            </w:pPr>
          </w:p>
          <w:tbl>
            <w:tblPr>
              <w:tblStyle w:val="24"/>
              <w:tblW w:w="0" w:type="auto"/>
              <w:jc w:val="center"/>
              <w:tblLayout w:type="fixed"/>
              <w:tblCellMar>
                <w:top w:w="0" w:type="dxa"/>
                <w:left w:w="108" w:type="dxa"/>
                <w:bottom w:w="0" w:type="dxa"/>
                <w:right w:w="108" w:type="dxa"/>
              </w:tblCellMar>
            </w:tblPr>
            <w:tblGrid>
              <w:gridCol w:w="1260"/>
              <w:gridCol w:w="7246"/>
            </w:tblGrid>
            <w:tr>
              <w:tblPrEx>
                <w:tblCellMar>
                  <w:top w:w="0" w:type="dxa"/>
                  <w:left w:w="108" w:type="dxa"/>
                  <w:bottom w:w="0" w:type="dxa"/>
                  <w:right w:w="108" w:type="dxa"/>
                </w:tblCellMar>
              </w:tblPrEx>
              <w:trPr>
                <w:trHeight w:val="480" w:hRule="atLeast"/>
                <w:jc w:val="center"/>
              </w:trPr>
              <w:tc>
                <w:tcPr>
                  <w:tcW w:w="8506" w:type="dxa"/>
                  <w:gridSpan w:val="2"/>
                  <w:noWrap w:val="0"/>
                  <w:vAlign w:val="center"/>
                </w:tcPr>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在20</w:t>
                  </w:r>
                  <w:r>
                    <w:rPr>
                      <w:rFonts w:hint="eastAsia" w:asciiTheme="minorEastAsia" w:hAnsiTheme="minorEastAsia" w:eastAsiaTheme="minorEastAsia" w:cstheme="minorEastAsia"/>
                      <w:b/>
                      <w:bCs/>
                      <w:color w:val="auto"/>
                      <w:highlight w:val="none"/>
                      <w:lang w:val="en-US" w:eastAsia="zh-CN"/>
                    </w:rPr>
                    <w:t>21</w:t>
                  </w:r>
                  <w:r>
                    <w:rPr>
                      <w:rFonts w:hint="eastAsia" w:asciiTheme="minorEastAsia" w:hAnsiTheme="minorEastAsia" w:eastAsiaTheme="minorEastAsia" w:cstheme="minorEastAsia"/>
                      <w:b/>
                      <w:bCs/>
                      <w:color w:val="auto"/>
                      <w:highlight w:val="none"/>
                    </w:rPr>
                    <w:t>年</w:t>
                  </w:r>
                  <w:r>
                    <w:rPr>
                      <w:rFonts w:hint="eastAsia" w:asciiTheme="minorEastAsia" w:hAnsiTheme="minorEastAsia" w:eastAsiaTheme="minorEastAsia" w:cstheme="minorEastAsia"/>
                      <w:b/>
                      <w:bCs/>
                      <w:color w:val="auto"/>
                      <w:highlight w:val="none"/>
                      <w:lang w:val="en-US" w:eastAsia="zh-CN"/>
                    </w:rPr>
                    <w:t>12</w:t>
                  </w:r>
                  <w:r>
                    <w:rPr>
                      <w:rFonts w:hint="eastAsia" w:asciiTheme="minorEastAsia" w:hAnsiTheme="minorEastAsia" w:eastAsiaTheme="minorEastAsia" w:cstheme="minorEastAsia"/>
                      <w:b/>
                      <w:bCs/>
                      <w:color w:val="auto"/>
                      <w:highlight w:val="none"/>
                    </w:rPr>
                    <w:t>月</w:t>
                  </w:r>
                  <w:r>
                    <w:rPr>
                      <w:rFonts w:hint="eastAsia" w:asciiTheme="minorEastAsia" w:hAnsiTheme="minorEastAsia" w:eastAsiaTheme="minorEastAsia" w:cstheme="minorEastAsia"/>
                      <w:b/>
                      <w:bCs/>
                      <w:color w:val="auto"/>
                      <w:highlight w:val="none"/>
                      <w:lang w:val="en-US" w:eastAsia="zh-CN"/>
                    </w:rPr>
                    <w:t>6</w:t>
                  </w:r>
                  <w:r>
                    <w:rPr>
                      <w:rFonts w:hint="eastAsia" w:asciiTheme="minorEastAsia" w:hAnsiTheme="minorEastAsia" w:eastAsiaTheme="minorEastAsia" w:cstheme="minorEastAsia"/>
                      <w:b/>
                      <w:bCs/>
                      <w:color w:val="auto"/>
                      <w:highlight w:val="none"/>
                    </w:rPr>
                    <w:t>日上午</w:t>
                  </w:r>
                  <w:r>
                    <w:rPr>
                      <w:rFonts w:hint="eastAsia" w:asciiTheme="minorEastAsia" w:hAnsiTheme="minorEastAsia" w:eastAsiaTheme="minorEastAsia" w:cstheme="minorEastAsia"/>
                      <w:b/>
                      <w:bCs/>
                      <w:color w:val="auto"/>
                      <w:highlight w:val="none"/>
                      <w:lang w:val="en-US" w:eastAsia="zh-CN"/>
                    </w:rPr>
                    <w:t>9</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 xml:space="preserve">00 </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 xml:space="preserve">9 </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 xml:space="preserve">30 </w:t>
                  </w:r>
                  <w:r>
                    <w:rPr>
                      <w:rFonts w:hint="eastAsia" w:asciiTheme="minorEastAsia" w:hAnsiTheme="minorEastAsia" w:eastAsiaTheme="minorEastAsia" w:cstheme="minorEastAsia"/>
                      <w:b/>
                      <w:bCs/>
                      <w:color w:val="auto"/>
                      <w:highlight w:val="none"/>
                    </w:rPr>
                    <w:t>时之间准时当面递交且不得启封</w:t>
                  </w:r>
                </w:p>
              </w:tc>
            </w:tr>
            <w:tr>
              <w:tblPrEx>
                <w:tblCellMar>
                  <w:top w:w="0" w:type="dxa"/>
                  <w:left w:w="108" w:type="dxa"/>
                  <w:bottom w:w="0" w:type="dxa"/>
                  <w:right w:w="108" w:type="dxa"/>
                </w:tblCellMar>
              </w:tblPrEx>
              <w:trPr>
                <w:trHeight w:val="615" w:hRule="atLeast"/>
                <w:jc w:val="center"/>
              </w:trPr>
              <w:tc>
                <w:tcPr>
                  <w:tcW w:w="1260" w:type="dxa"/>
                  <w:noWrap w:val="0"/>
                  <w:vAlign w:val="center"/>
                </w:tcPr>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递交地点：</w:t>
                  </w:r>
                </w:p>
              </w:tc>
              <w:tc>
                <w:tcPr>
                  <w:tcW w:w="7246" w:type="dxa"/>
                  <w:noWrap w:val="0"/>
                  <w:vAlign w:val="center"/>
                </w:tcPr>
                <w:p>
                  <w:pP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佛山市禅城区季华五路10号金融广场17层A区之一（广东远东招标代理有限公司</w:t>
                  </w:r>
                  <w:r>
                    <w:rPr>
                      <w:rFonts w:hint="eastAsia" w:asciiTheme="minorEastAsia" w:hAnsiTheme="minorEastAsia" w:eastAsiaTheme="minorEastAsia" w:cstheme="minorEastAsia"/>
                      <w:b/>
                      <w:bCs/>
                      <w:color w:val="auto"/>
                      <w:highlight w:val="none"/>
                      <w:lang w:val="en-US" w:eastAsia="zh-CN"/>
                    </w:rPr>
                    <w:t>佛山分公司</w:t>
                  </w:r>
                  <w:r>
                    <w:rPr>
                      <w:rFonts w:hint="eastAsia" w:asciiTheme="minorEastAsia" w:hAnsiTheme="minorEastAsia" w:eastAsiaTheme="minorEastAsia" w:cstheme="minorEastAsia"/>
                      <w:b/>
                      <w:bCs/>
                      <w:color w:val="auto"/>
                      <w:highlight w:val="none"/>
                      <w:lang w:eastAsia="zh-CN"/>
                    </w:rPr>
                    <w:t xml:space="preserve"> 开标室）</w:t>
                  </w:r>
                </w:p>
              </w:tc>
            </w:tr>
            <w:tr>
              <w:tblPrEx>
                <w:tblCellMar>
                  <w:top w:w="0" w:type="dxa"/>
                  <w:left w:w="108" w:type="dxa"/>
                  <w:bottom w:w="0" w:type="dxa"/>
                  <w:right w:w="108" w:type="dxa"/>
                </w:tblCellMar>
              </w:tblPrEx>
              <w:trPr>
                <w:trHeight w:val="465" w:hRule="atLeast"/>
                <w:jc w:val="center"/>
              </w:trPr>
              <w:tc>
                <w:tcPr>
                  <w:tcW w:w="1260" w:type="dxa"/>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电    话：</w:t>
                  </w:r>
                </w:p>
              </w:tc>
              <w:tc>
                <w:tcPr>
                  <w:tcW w:w="7246" w:type="dxa"/>
                  <w:noWrap w:val="0"/>
                  <w:vAlign w:val="center"/>
                </w:tcPr>
                <w:p>
                  <w:pP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0757-83332528</w:t>
                  </w:r>
                </w:p>
              </w:tc>
            </w:tr>
            <w:tr>
              <w:tblPrEx>
                <w:tblCellMar>
                  <w:top w:w="0" w:type="dxa"/>
                  <w:left w:w="108" w:type="dxa"/>
                  <w:bottom w:w="0" w:type="dxa"/>
                  <w:right w:w="108" w:type="dxa"/>
                </w:tblCellMar>
              </w:tblPrEx>
              <w:trPr>
                <w:trHeight w:val="285" w:hRule="atLeast"/>
                <w:jc w:val="center"/>
              </w:trPr>
              <w:tc>
                <w:tcPr>
                  <w:tcW w:w="1260" w:type="dxa"/>
                  <w:noWrap w:val="0"/>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声    明：</w:t>
                  </w:r>
                </w:p>
              </w:tc>
              <w:tc>
                <w:tcPr>
                  <w:tcW w:w="7246" w:type="dxa"/>
                  <w:noWrap w:val="0"/>
                  <w:vAlign w:val="center"/>
                </w:tcPr>
                <w:p>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同意由递交响应文件登记顺序的前两名供应商，将作为集中推选的代表，现场对所有响应文件进行密封性检查。</w:t>
                  </w:r>
                </w:p>
              </w:tc>
            </w:tr>
          </w:tbl>
          <w:p>
            <w:pPr>
              <w:rPr>
                <w:rFonts w:hint="eastAsia" w:asciiTheme="minorEastAsia" w:hAnsiTheme="minorEastAsia" w:eastAsiaTheme="minorEastAsia" w:cstheme="minorEastAsia"/>
                <w:color w:val="auto"/>
                <w:highlight w:val="none"/>
              </w:rPr>
            </w:pPr>
          </w:p>
        </w:tc>
      </w:tr>
    </w:tbl>
    <w:p>
      <w:pPr>
        <w:spacing w:line="360" w:lineRule="auto"/>
        <w:ind w:firstLine="480" w:firstLineChars="200"/>
        <w:rPr>
          <w:rFonts w:hint="eastAsia" w:asciiTheme="minorEastAsia" w:hAnsiTheme="minorEastAsia" w:eastAsiaTheme="minorEastAsia" w:cstheme="minorEastAsia"/>
          <w:color w:val="auto"/>
          <w:sz w:val="24"/>
          <w:highlight w:val="none"/>
        </w:rPr>
      </w:pPr>
    </w:p>
    <w:p>
      <w:pPr>
        <w:spacing w:line="360" w:lineRule="auto"/>
        <w:ind w:firstLine="480" w:firstLineChars="100"/>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注意事项</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一、报价信封另单独封装，并按下列顺序装订：</w:t>
      </w:r>
    </w:p>
    <w:p>
      <w:pPr>
        <w:numPr>
          <w:ilvl w:val="0"/>
          <w:numId w:val="41"/>
        </w:numPr>
        <w:tabs>
          <w:tab w:val="left" w:pos="900"/>
        </w:tabs>
        <w:spacing w:line="360" w:lineRule="auto"/>
        <w:ind w:left="1080" w:hanging="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《报价汇总表》复印件（须加盖公章）；</w:t>
      </w:r>
    </w:p>
    <w:p>
      <w:pPr>
        <w:numPr>
          <w:ilvl w:val="0"/>
          <w:numId w:val="41"/>
        </w:numPr>
        <w:tabs>
          <w:tab w:val="left" w:pos="900"/>
        </w:tabs>
        <w:spacing w:line="360" w:lineRule="auto"/>
        <w:ind w:left="1080" w:hanging="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《磋商保证金退付书》原件（须加盖公章）</w:t>
      </w:r>
      <w:r>
        <w:rPr>
          <w:rFonts w:hint="eastAsia" w:asciiTheme="minorEastAsia" w:hAnsiTheme="minorEastAsia" w:eastAsiaTheme="minorEastAsia" w:cstheme="minorEastAsia"/>
          <w:color w:val="auto"/>
          <w:highlight w:val="none"/>
          <w:lang w:eastAsia="zh-CN"/>
        </w:rPr>
        <w:t>；</w:t>
      </w:r>
    </w:p>
    <w:p>
      <w:pPr>
        <w:numPr>
          <w:ilvl w:val="0"/>
          <w:numId w:val="41"/>
        </w:numPr>
        <w:tabs>
          <w:tab w:val="left" w:pos="900"/>
        </w:tabs>
        <w:spacing w:line="360" w:lineRule="auto"/>
        <w:ind w:left="1080" w:hanging="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GB"/>
        </w:rPr>
        <w:t>响应文件电子光盘</w:t>
      </w:r>
      <w:r>
        <w:rPr>
          <w:rFonts w:hint="eastAsia" w:asciiTheme="minorEastAsia" w:hAnsiTheme="minorEastAsia" w:eastAsiaTheme="minorEastAsia" w:cstheme="minorEastAsia"/>
          <w:color w:val="auto"/>
          <w:highlight w:val="none"/>
        </w:rPr>
        <w:t>/U盘</w:t>
      </w:r>
      <w:r>
        <w:rPr>
          <w:rFonts w:hint="eastAsia" w:asciiTheme="minorEastAsia" w:hAnsiTheme="minorEastAsia" w:eastAsiaTheme="minorEastAsia" w:cstheme="minorEastAsia"/>
          <w:color w:val="auto"/>
          <w:highlight w:val="none"/>
          <w:lang w:val="en-GB"/>
        </w:rPr>
        <w:t>1份</w:t>
      </w:r>
      <w:r>
        <w:rPr>
          <w:rFonts w:hint="eastAsia" w:asciiTheme="minorEastAsia" w:hAnsiTheme="minorEastAsia" w:eastAsiaTheme="minorEastAsia" w:cstheme="minorEastAsia"/>
          <w:color w:val="auto"/>
          <w:highlight w:val="none"/>
          <w:lang w:val="en-GB" w:eastAsia="zh-CN"/>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二、重要提示：</w:t>
      </w:r>
    </w:p>
    <w:p>
      <w:pPr>
        <w:numPr>
          <w:ilvl w:val="0"/>
          <w:numId w:val="42"/>
        </w:numPr>
        <w:tabs>
          <w:tab w:val="left" w:pos="900"/>
        </w:tabs>
        <w:spacing w:line="360" w:lineRule="auto"/>
        <w:ind w:left="900" w:leftChars="258" w:hanging="35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唱标信封与正、副本必须分开单独封装并标贴此封面，密封口处须加盖公章或授权代表签名。</w:t>
      </w:r>
    </w:p>
    <w:p>
      <w:pPr>
        <w:numPr>
          <w:ilvl w:val="0"/>
          <w:numId w:val="42"/>
        </w:numPr>
        <w:tabs>
          <w:tab w:val="left" w:pos="900"/>
        </w:tabs>
        <w:spacing w:line="360" w:lineRule="auto"/>
        <w:ind w:left="900" w:leftChars="258" w:hanging="35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递交文件登记顺序的前二名供应商，将作为集中推选的代表现场对所有响应文件进行密封性检查。</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附件：询问函、质疑函格式</w:t>
      </w:r>
    </w:p>
    <w:p>
      <w:pPr>
        <w:pStyle w:val="3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说明：本部分格式为投标人提交询问函、质疑函时使用，不属于</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格式的组成部分。</w:t>
      </w:r>
    </w:p>
    <w:p>
      <w:pPr>
        <w:spacing w:after="468" w:afterLines="1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询问函</w:t>
      </w:r>
    </w:p>
    <w:p>
      <w:pPr>
        <w:widowControl/>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eastAsia="zh-CN"/>
        </w:rPr>
        <w:t>广东远东招标代理有限公司</w:t>
      </w:r>
      <w:r>
        <w:rPr>
          <w:rFonts w:hint="eastAsia" w:asciiTheme="minorEastAsia" w:hAnsiTheme="minorEastAsia" w:eastAsiaTheme="minorEastAsia" w:cstheme="minorEastAsia"/>
          <w:color w:val="auto"/>
          <w:sz w:val="24"/>
          <w:highlight w:val="none"/>
        </w:rPr>
        <w:t>：</w:t>
      </w:r>
    </w:p>
    <w:p>
      <w:pPr>
        <w:widowControl/>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我单位已按规定获取磋商文件并准备参与</w:t>
      </w:r>
      <w:r>
        <w:rPr>
          <w:rFonts w:hint="eastAsia" w:asciiTheme="minorEastAsia" w:hAnsiTheme="minorEastAsia" w:eastAsiaTheme="minorEastAsia" w:cstheme="minorEastAsia"/>
          <w:i/>
          <w:color w:val="auto"/>
          <w:sz w:val="24"/>
          <w:highlight w:val="none"/>
          <w:u w:val="single"/>
        </w:rPr>
        <w:t>（项目名称）</w:t>
      </w:r>
      <w:r>
        <w:rPr>
          <w:rFonts w:hint="eastAsia" w:asciiTheme="minorEastAsia" w:hAnsiTheme="minorEastAsia" w:eastAsiaTheme="minorEastAsia" w:cstheme="minorEastAsia"/>
          <w:color w:val="auto"/>
          <w:sz w:val="24"/>
          <w:highlight w:val="none"/>
        </w:rPr>
        <w:t>项目（项目采购编号：）的投标（或报价）活动，现有以下几个内容（或条款）存在疑问（或无法理解），特提出询问。</w:t>
      </w:r>
    </w:p>
    <w:p>
      <w:pPr>
        <w:widowControl/>
        <w:tabs>
          <w:tab w:val="center" w:pos="5019"/>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一、_____________________（事项一）</w:t>
      </w:r>
      <w:r>
        <w:rPr>
          <w:rFonts w:hint="eastAsia" w:asciiTheme="minorEastAsia" w:hAnsiTheme="minorEastAsia" w:eastAsiaTheme="minorEastAsia" w:cstheme="minorEastAsia"/>
          <w:color w:val="auto"/>
          <w:sz w:val="24"/>
          <w:highlight w:val="none"/>
        </w:rPr>
        <w:tab/>
      </w:r>
    </w:p>
    <w:p>
      <w:pPr>
        <w:widowControl/>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（1）____________________（问题或条款内容）</w:t>
      </w:r>
    </w:p>
    <w:p>
      <w:pPr>
        <w:widowControl/>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（2）____________________（说明疑问或无法理解原因）</w:t>
      </w:r>
    </w:p>
    <w:p>
      <w:pPr>
        <w:widowControl/>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（3）____________________（建议）</w:t>
      </w:r>
    </w:p>
    <w:p>
      <w:pPr>
        <w:widowControl/>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二、_____________________（事项二）</w:t>
      </w:r>
    </w:p>
    <w:p>
      <w:pPr>
        <w:widowControl/>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widowControl/>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随附相关证明材料如下：（目录）。</w:t>
      </w:r>
    </w:p>
    <w:p>
      <w:pPr>
        <w:widowControl/>
        <w:tabs>
          <w:tab w:val="left" w:pos="6300"/>
        </w:tabs>
        <w:snapToGrid w:val="0"/>
        <w:spacing w:line="360" w:lineRule="auto"/>
        <w:ind w:firstLine="1440" w:firstLineChars="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询问人：（公章）</w:t>
      </w:r>
    </w:p>
    <w:p>
      <w:pPr>
        <w:widowControl/>
        <w:tabs>
          <w:tab w:val="left" w:pos="6300"/>
        </w:tabs>
        <w:snapToGrid w:val="0"/>
        <w:spacing w:line="360" w:lineRule="auto"/>
        <w:ind w:firstLine="1440" w:firstLineChars="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法定代表人（授权代表）：</w:t>
      </w:r>
    </w:p>
    <w:p>
      <w:pPr>
        <w:tabs>
          <w:tab w:val="left" w:pos="6300"/>
        </w:tabs>
        <w:snapToGrid w:val="0"/>
        <w:spacing w:line="360" w:lineRule="auto"/>
        <w:ind w:firstLine="1440" w:firstLineChars="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地址/邮编：</w:t>
      </w:r>
    </w:p>
    <w:p>
      <w:pPr>
        <w:tabs>
          <w:tab w:val="left" w:pos="6300"/>
        </w:tabs>
        <w:snapToGrid w:val="0"/>
        <w:spacing w:line="360" w:lineRule="auto"/>
        <w:ind w:firstLine="1440" w:firstLineChars="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电话/传真：</w:t>
      </w:r>
    </w:p>
    <w:p>
      <w:pPr>
        <w:jc w:val="righ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年月日</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spacing w:after="360" w:afterLines="150"/>
        <w:jc w:val="center"/>
        <w:rPr>
          <w:rFonts w:hint="eastAsia" w:hAnsi="宋体" w:cs="宋体"/>
          <w:sz w:val="32"/>
          <w:szCs w:val="32"/>
          <w:highlight w:val="none"/>
        </w:rPr>
      </w:pPr>
      <w:r>
        <w:rPr>
          <w:rFonts w:hint="eastAsia" w:hAnsi="宋体" w:cs="宋体"/>
          <w:sz w:val="32"/>
          <w:szCs w:val="32"/>
          <w:highlight w:val="none"/>
        </w:rPr>
        <w:t>质疑函范本</w:t>
      </w:r>
    </w:p>
    <w:p>
      <w:pPr>
        <w:spacing w:line="300" w:lineRule="auto"/>
        <w:jc w:val="left"/>
        <w:rPr>
          <w:rFonts w:hint="eastAsia" w:hAnsi="宋体" w:cs="宋体"/>
          <w:sz w:val="24"/>
          <w:szCs w:val="24"/>
          <w:highlight w:val="none"/>
        </w:rPr>
      </w:pPr>
      <w:r>
        <w:rPr>
          <w:rFonts w:hint="eastAsia" w:hAnsi="宋体" w:cs="宋体"/>
          <w:sz w:val="24"/>
          <w:szCs w:val="24"/>
          <w:highlight w:val="none"/>
        </w:rPr>
        <w:t>一、质疑供应商基本信息</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质疑供应商：</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地址：</w:t>
      </w:r>
      <w:r>
        <w:rPr>
          <w:rFonts w:hint="eastAsia" w:hAnsi="宋体" w:cs="宋体"/>
          <w:sz w:val="24"/>
          <w:szCs w:val="24"/>
          <w:highlight w:val="none"/>
          <w:u w:val="single"/>
        </w:rPr>
        <w:t xml:space="preserve">                                 </w:t>
      </w:r>
      <w:r>
        <w:rPr>
          <w:rFonts w:hint="eastAsia" w:hAnsi="宋体" w:cs="宋体"/>
          <w:sz w:val="24"/>
          <w:szCs w:val="24"/>
          <w:highlight w:val="none"/>
        </w:rPr>
        <w:t>邮编：</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联系人：</w:t>
      </w:r>
      <w:r>
        <w:rPr>
          <w:rFonts w:hint="eastAsia" w:hAnsi="宋体" w:cs="宋体"/>
          <w:sz w:val="24"/>
          <w:szCs w:val="24"/>
          <w:highlight w:val="none"/>
          <w:u w:val="single"/>
        </w:rPr>
        <w:t xml:space="preserve">                               </w:t>
      </w:r>
      <w:r>
        <w:rPr>
          <w:rFonts w:hint="eastAsia" w:hAnsi="宋体" w:cs="宋体"/>
          <w:sz w:val="24"/>
          <w:szCs w:val="24"/>
          <w:highlight w:val="none"/>
        </w:rPr>
        <w:t>联系电话：</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u w:val="single"/>
        </w:rPr>
      </w:pPr>
      <w:r>
        <w:rPr>
          <w:rFonts w:hint="eastAsia" w:hAnsi="宋体" w:cs="宋体"/>
          <w:sz w:val="24"/>
          <w:szCs w:val="24"/>
          <w:highlight w:val="none"/>
        </w:rPr>
        <w:t>授权代表：</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联系电话：</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地址：</w:t>
      </w:r>
      <w:r>
        <w:rPr>
          <w:rFonts w:hint="eastAsia" w:hAnsi="宋体" w:cs="宋体"/>
          <w:sz w:val="24"/>
          <w:szCs w:val="24"/>
          <w:highlight w:val="none"/>
          <w:u w:val="single"/>
        </w:rPr>
        <w:t xml:space="preserve">                                  </w:t>
      </w:r>
      <w:r>
        <w:rPr>
          <w:rFonts w:hint="eastAsia" w:hAnsi="宋体" w:cs="宋体"/>
          <w:sz w:val="24"/>
          <w:szCs w:val="24"/>
          <w:highlight w:val="none"/>
        </w:rPr>
        <w:t>邮编：</w:t>
      </w:r>
      <w:r>
        <w:rPr>
          <w:rFonts w:hint="eastAsia" w:hAnsi="宋体" w:cs="宋体"/>
          <w:sz w:val="24"/>
          <w:szCs w:val="24"/>
          <w:highlight w:val="none"/>
          <w:u w:val="single"/>
        </w:rPr>
        <w:t xml:space="preserve">                              </w:t>
      </w:r>
    </w:p>
    <w:p>
      <w:pPr>
        <w:spacing w:line="300" w:lineRule="auto"/>
        <w:jc w:val="left"/>
        <w:rPr>
          <w:rFonts w:hint="eastAsia" w:hAnsi="宋体" w:cs="宋体"/>
          <w:sz w:val="24"/>
          <w:szCs w:val="24"/>
          <w:highlight w:val="none"/>
        </w:rPr>
      </w:pPr>
      <w:r>
        <w:rPr>
          <w:rFonts w:hint="eastAsia" w:hAnsi="宋体" w:cs="宋体"/>
          <w:sz w:val="24"/>
          <w:szCs w:val="24"/>
          <w:highlight w:val="none"/>
        </w:rPr>
        <w:t>二、质疑项目基本情况</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质疑项目的名称：</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质疑项目的编号：</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包号（如有）：</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采购人名称：</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采购文件获取日期：</w:t>
      </w:r>
      <w:r>
        <w:rPr>
          <w:rFonts w:hint="eastAsia" w:hAnsi="宋体" w:cs="宋体"/>
          <w:sz w:val="24"/>
          <w:szCs w:val="24"/>
          <w:highlight w:val="none"/>
          <w:u w:val="single"/>
        </w:rPr>
        <w:t xml:space="preserve">                         </w:t>
      </w:r>
    </w:p>
    <w:p>
      <w:pPr>
        <w:spacing w:line="300" w:lineRule="auto"/>
        <w:jc w:val="left"/>
        <w:rPr>
          <w:rFonts w:hint="eastAsia" w:hAnsi="宋体" w:cs="宋体"/>
          <w:sz w:val="24"/>
          <w:szCs w:val="24"/>
          <w:highlight w:val="none"/>
        </w:rPr>
      </w:pPr>
      <w:r>
        <w:rPr>
          <w:rFonts w:hint="eastAsia" w:hAnsi="宋体" w:cs="宋体"/>
          <w:sz w:val="24"/>
          <w:szCs w:val="24"/>
          <w:highlight w:val="none"/>
        </w:rPr>
        <w:t>三、质疑事项具体内容</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质疑事项1：</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事实依据：</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法律依据：</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质疑事项2</w:t>
      </w:r>
      <w:r>
        <w:rPr>
          <w:rFonts w:hint="eastAsia" w:hAnsi="宋体" w:cs="宋体"/>
          <w:sz w:val="24"/>
          <w:szCs w:val="24"/>
          <w:highlight w:val="none"/>
          <w:u w:val="single"/>
        </w:rPr>
        <w:t xml:space="preserve">                               </w:t>
      </w:r>
    </w:p>
    <w:p>
      <w:pPr>
        <w:spacing w:line="300" w:lineRule="auto"/>
        <w:ind w:firstLine="420" w:firstLineChars="175"/>
        <w:jc w:val="left"/>
        <w:rPr>
          <w:rFonts w:hint="eastAsia" w:hAnsi="宋体" w:cs="宋体"/>
          <w:sz w:val="24"/>
          <w:szCs w:val="24"/>
          <w:highlight w:val="none"/>
        </w:rPr>
      </w:pPr>
      <w:r>
        <w:rPr>
          <w:rFonts w:hint="eastAsia" w:hAnsi="宋体" w:cs="宋体"/>
          <w:sz w:val="24"/>
          <w:szCs w:val="24"/>
          <w:highlight w:val="none"/>
        </w:rPr>
        <w:t>……</w:t>
      </w:r>
    </w:p>
    <w:p>
      <w:pPr>
        <w:spacing w:line="300" w:lineRule="auto"/>
        <w:jc w:val="left"/>
        <w:rPr>
          <w:rFonts w:hint="eastAsia" w:hAnsi="宋体" w:cs="宋体"/>
          <w:sz w:val="24"/>
          <w:szCs w:val="24"/>
          <w:highlight w:val="none"/>
        </w:rPr>
      </w:pPr>
      <w:r>
        <w:rPr>
          <w:rFonts w:hint="eastAsia" w:hAnsi="宋体" w:cs="宋体"/>
          <w:sz w:val="24"/>
          <w:szCs w:val="24"/>
          <w:highlight w:val="none"/>
        </w:rPr>
        <w:t>四、与质疑事项相关的质疑请求</w:t>
      </w:r>
    </w:p>
    <w:p>
      <w:pPr>
        <w:spacing w:line="300" w:lineRule="auto"/>
        <w:ind w:firstLine="480" w:firstLineChars="200"/>
        <w:jc w:val="left"/>
        <w:rPr>
          <w:rFonts w:hint="eastAsia" w:hAnsi="宋体" w:cs="宋体"/>
          <w:sz w:val="24"/>
          <w:szCs w:val="24"/>
          <w:highlight w:val="none"/>
        </w:rPr>
      </w:pPr>
      <w:r>
        <w:rPr>
          <w:rFonts w:hint="eastAsia" w:hAnsi="宋体" w:cs="宋体"/>
          <w:sz w:val="24"/>
          <w:szCs w:val="24"/>
          <w:highlight w:val="none"/>
        </w:rPr>
        <w:t>请求：</w:t>
      </w:r>
    </w:p>
    <w:p>
      <w:pPr>
        <w:spacing w:line="300" w:lineRule="auto"/>
        <w:ind w:firstLine="480" w:firstLineChars="200"/>
        <w:jc w:val="left"/>
        <w:rPr>
          <w:rFonts w:hint="eastAsia" w:hAnsi="宋体" w:cs="宋体"/>
          <w:sz w:val="24"/>
          <w:szCs w:val="24"/>
          <w:highlight w:val="none"/>
        </w:rPr>
      </w:pPr>
      <w:r>
        <w:rPr>
          <w:rFonts w:hint="eastAsia" w:hAnsi="宋体" w:cs="宋体"/>
          <w:sz w:val="24"/>
          <w:szCs w:val="24"/>
          <w:highlight w:val="none"/>
        </w:rPr>
        <w:t>供应商（盖章）：</w:t>
      </w:r>
    </w:p>
    <w:p>
      <w:pPr>
        <w:spacing w:line="300" w:lineRule="auto"/>
        <w:ind w:firstLine="480" w:firstLineChars="200"/>
        <w:jc w:val="left"/>
        <w:rPr>
          <w:rFonts w:hint="eastAsia" w:hAnsi="宋体" w:cs="宋体"/>
          <w:sz w:val="24"/>
          <w:szCs w:val="24"/>
          <w:highlight w:val="none"/>
        </w:rPr>
      </w:pPr>
      <w:r>
        <w:rPr>
          <w:rFonts w:hint="eastAsia" w:hAnsi="宋体" w:cs="宋体"/>
          <w:sz w:val="24"/>
          <w:szCs w:val="24"/>
          <w:highlight w:val="none"/>
        </w:rPr>
        <w:t>法定代表人（授权代表）：</w:t>
      </w:r>
    </w:p>
    <w:p>
      <w:pPr>
        <w:spacing w:line="300" w:lineRule="auto"/>
        <w:ind w:firstLine="480" w:firstLineChars="200"/>
        <w:jc w:val="left"/>
        <w:rPr>
          <w:rFonts w:hint="eastAsia" w:hAnsi="宋体" w:cs="宋体"/>
          <w:sz w:val="24"/>
          <w:szCs w:val="24"/>
          <w:highlight w:val="none"/>
        </w:rPr>
      </w:pPr>
      <w:r>
        <w:rPr>
          <w:rFonts w:hint="eastAsia" w:hAnsi="宋体" w:cs="宋体"/>
          <w:sz w:val="24"/>
          <w:szCs w:val="24"/>
          <w:highlight w:val="none"/>
        </w:rPr>
        <w:t>地址/邮编：</w:t>
      </w:r>
    </w:p>
    <w:p>
      <w:pPr>
        <w:spacing w:line="300" w:lineRule="auto"/>
        <w:ind w:firstLine="480" w:firstLineChars="200"/>
        <w:jc w:val="left"/>
        <w:rPr>
          <w:rFonts w:hint="eastAsia" w:hAnsi="宋体" w:cs="宋体"/>
          <w:sz w:val="24"/>
          <w:szCs w:val="24"/>
          <w:highlight w:val="none"/>
        </w:rPr>
      </w:pPr>
      <w:r>
        <w:rPr>
          <w:rFonts w:hint="eastAsia" w:hAnsi="宋体" w:cs="宋体"/>
          <w:sz w:val="24"/>
          <w:szCs w:val="24"/>
          <w:highlight w:val="none"/>
        </w:rPr>
        <w:t>电话/传真：</w:t>
      </w:r>
    </w:p>
    <w:p>
      <w:pPr>
        <w:spacing w:line="300" w:lineRule="auto"/>
        <w:jc w:val="right"/>
        <w:rPr>
          <w:rFonts w:hint="eastAsia" w:hAnsi="宋体" w:cs="宋体"/>
          <w:sz w:val="24"/>
          <w:szCs w:val="24"/>
          <w:highlight w:val="none"/>
        </w:rPr>
      </w:pPr>
      <w:r>
        <w:rPr>
          <w:rFonts w:hint="eastAsia" w:hAnsi="宋体" w:cs="宋体"/>
          <w:sz w:val="24"/>
          <w:szCs w:val="24"/>
          <w:highlight w:val="none"/>
        </w:rPr>
        <w:t>日期： 年 月 日</w:t>
      </w:r>
    </w:p>
    <w:p>
      <w:pPr>
        <w:pStyle w:val="22"/>
        <w:ind w:left="0" w:leftChars="0" w:firstLine="0" w:firstLineChars="0"/>
        <w:jc w:val="both"/>
        <w:rPr>
          <w:rFonts w:hint="eastAsia" w:asciiTheme="minorEastAsia" w:hAnsiTheme="minorEastAsia" w:eastAsiaTheme="minorEastAsia" w:cstheme="minorEastAsia"/>
          <w:color w:val="auto"/>
          <w:highlight w:val="none"/>
        </w:rPr>
      </w:pPr>
    </w:p>
    <w:sectPr>
      <w:pgSz w:w="11906" w:h="16838"/>
      <w:pgMar w:top="1134" w:right="1134" w:bottom="1134" w:left="1587" w:header="567" w:footer="73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44</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宋体" w:hAnsi="宋体"/>
        <w:sz w:val="18"/>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r>
      <w:rPr>
        <w:rFonts w:hint="eastAsia" w:ascii="宋体" w:hAnsi="宋体"/>
      </w:rPr>
      <w:t>项目名称：                                                     采购编号：</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E9277"/>
    <w:multiLevelType w:val="multilevel"/>
    <w:tmpl w:val="B47E9277"/>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1">
    <w:nsid w:val="B712E4A7"/>
    <w:multiLevelType w:val="singleLevel"/>
    <w:tmpl w:val="B712E4A7"/>
    <w:lvl w:ilvl="0" w:tentative="0">
      <w:start w:val="1"/>
      <w:numFmt w:val="decimal"/>
      <w:suff w:val="nothing"/>
      <w:lvlText w:val="%1、"/>
      <w:lvlJc w:val="left"/>
    </w:lvl>
  </w:abstractNum>
  <w:abstractNum w:abstractNumId="2">
    <w:nsid w:val="BA918278"/>
    <w:multiLevelType w:val="singleLevel"/>
    <w:tmpl w:val="BA918278"/>
    <w:lvl w:ilvl="0" w:tentative="0">
      <w:start w:val="1"/>
      <w:numFmt w:val="decimal"/>
      <w:lvlText w:val="%1."/>
      <w:lvlJc w:val="left"/>
      <w:pPr>
        <w:tabs>
          <w:tab w:val="left" w:pos="312"/>
        </w:tabs>
        <w:ind w:left="10"/>
      </w:pPr>
    </w:lvl>
  </w:abstractNum>
  <w:abstractNum w:abstractNumId="3">
    <w:nsid w:val="D099226C"/>
    <w:multiLevelType w:val="multilevel"/>
    <w:tmpl w:val="D099226C"/>
    <w:lvl w:ilvl="0" w:tentative="0">
      <w:start w:val="21"/>
      <w:numFmt w:val="decimal"/>
      <w:lvlText w:val="%1."/>
      <w:lvlJc w:val="left"/>
      <w:pPr>
        <w:tabs>
          <w:tab w:val="left" w:pos="624"/>
        </w:tabs>
        <w:ind w:left="624" w:hanging="624"/>
      </w:pPr>
      <w:rPr>
        <w:rFonts w:hint="default" w:ascii="宋体" w:hAnsi="宋体" w:eastAsia="宋体" w:cs="宋体"/>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D4421E3C"/>
    <w:multiLevelType w:val="multilevel"/>
    <w:tmpl w:val="D4421E3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EAAD1894"/>
    <w:multiLevelType w:val="singleLevel"/>
    <w:tmpl w:val="EAAD1894"/>
    <w:lvl w:ilvl="0" w:tentative="0">
      <w:start w:val="20"/>
      <w:numFmt w:val="decimal"/>
      <w:lvlText w:val="%1."/>
      <w:lvlJc w:val="left"/>
      <w:pPr>
        <w:tabs>
          <w:tab w:val="left" w:pos="312"/>
        </w:tabs>
      </w:pPr>
    </w:lvl>
  </w:abstractNum>
  <w:abstractNum w:abstractNumId="6">
    <w:nsid w:val="ED3D50F5"/>
    <w:multiLevelType w:val="singleLevel"/>
    <w:tmpl w:val="ED3D50F5"/>
    <w:lvl w:ilvl="0" w:tentative="0">
      <w:start w:val="1"/>
      <w:numFmt w:val="decimal"/>
      <w:lvlText w:val="%1)"/>
      <w:lvlJc w:val="left"/>
      <w:pPr>
        <w:ind w:left="425" w:hanging="425"/>
      </w:pPr>
      <w:rPr>
        <w:rFonts w:hint="default"/>
      </w:rPr>
    </w:lvl>
  </w:abstractNum>
  <w:abstractNum w:abstractNumId="7">
    <w:nsid w:val="00000002"/>
    <w:multiLevelType w:val="singleLevel"/>
    <w:tmpl w:val="00000002"/>
    <w:lvl w:ilvl="0" w:tentative="0">
      <w:start w:val="10"/>
      <w:numFmt w:val="decimal"/>
      <w:lvlText w:val="%1."/>
      <w:lvlJc w:val="left"/>
      <w:pPr>
        <w:tabs>
          <w:tab w:val="left" w:pos="312"/>
        </w:tabs>
      </w:pPr>
    </w:lvl>
  </w:abstractNum>
  <w:abstractNum w:abstractNumId="8">
    <w:nsid w:val="00000004"/>
    <w:multiLevelType w:val="multilevel"/>
    <w:tmpl w:val="00000004"/>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multilevel"/>
    <w:tmpl w:val="0000000F"/>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0"/>
    <w:multiLevelType w:val="multilevel"/>
    <w:tmpl w:val="0000001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1"/>
    <w:multiLevelType w:val="multilevel"/>
    <w:tmpl w:val="0000001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3"/>
    <w:multiLevelType w:val="multilevel"/>
    <w:tmpl w:val="00000013"/>
    <w:lvl w:ilvl="0" w:tentative="0">
      <w:start w:val="1"/>
      <w:numFmt w:val="bullet"/>
      <w:lvlText w:val=""/>
      <w:lvlJc w:val="left"/>
      <w:pPr>
        <w:tabs>
          <w:tab w:val="left" w:pos="930"/>
        </w:tabs>
        <w:ind w:left="930" w:hanging="51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00000015"/>
    <w:multiLevelType w:val="multilevel"/>
    <w:tmpl w:val="00000015"/>
    <w:lvl w:ilvl="0" w:tentative="0">
      <w:start w:val="1"/>
      <w:numFmt w:val="decimal"/>
      <w:lvlText w:val="%1"/>
      <w:lvlJc w:val="center"/>
      <w:pPr>
        <w:tabs>
          <w:tab w:val="left" w:pos="-61"/>
        </w:tabs>
        <w:ind w:left="109" w:firstLine="179"/>
      </w:pPr>
      <w:rPr>
        <w:rFonts w:hint="eastAsia"/>
        <w:spacing w:val="-20"/>
        <w:kern w:val="2"/>
        <w:position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7"/>
    <w:multiLevelType w:val="multilevel"/>
    <w:tmpl w:val="00000017"/>
    <w:lvl w:ilvl="0" w:tentative="0">
      <w:start w:val="1"/>
      <w:numFmt w:val="decimal"/>
      <w:lvlText w:val="%1"/>
      <w:lvlJc w:val="center"/>
      <w:pPr>
        <w:tabs>
          <w:tab w:val="left" w:pos="170"/>
        </w:tabs>
        <w:ind w:left="170" w:hanging="170"/>
      </w:pPr>
      <w:rPr>
        <w:spacing w:val="-20"/>
        <w:kern w:val="2"/>
        <w:position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0000019"/>
    <w:multiLevelType w:val="multilevel"/>
    <w:tmpl w:val="00000019"/>
    <w:lvl w:ilvl="0" w:tentative="0">
      <w:start w:val="1"/>
      <w:numFmt w:val="decimal"/>
      <w:lvlText w:val="%1"/>
      <w:lvlJc w:val="left"/>
      <w:pPr>
        <w:tabs>
          <w:tab w:val="left" w:pos="170"/>
        </w:tabs>
        <w:ind w:left="170" w:hanging="17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A"/>
    <w:multiLevelType w:val="multilevel"/>
    <w:tmpl w:val="0000001A"/>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
    <w:nsid w:val="0000001B"/>
    <w:multiLevelType w:val="multilevel"/>
    <w:tmpl w:val="0000001B"/>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F"/>
    <w:multiLevelType w:val="multilevel"/>
    <w:tmpl w:val="0000001F"/>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0"/>
    <w:multiLevelType w:val="multilevel"/>
    <w:tmpl w:val="00000020"/>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22"/>
    <w:multiLevelType w:val="multilevel"/>
    <w:tmpl w:val="00000022"/>
    <w:lvl w:ilvl="0" w:tentative="0">
      <w:start w:val="1"/>
      <w:numFmt w:val="decimal"/>
      <w:lvlText w:val="1.%1."/>
      <w:lvlJc w:val="left"/>
      <w:pPr>
        <w:tabs>
          <w:tab w:val="left" w:pos="510"/>
        </w:tabs>
        <w:ind w:left="510" w:hanging="510"/>
      </w:pPr>
      <w:rPr>
        <w:rFonts w:hint="eastAsia"/>
        <w:b/>
        <w:i w:val="0"/>
      </w:rPr>
    </w:lvl>
    <w:lvl w:ilvl="1" w:tentative="0">
      <w:start w:val="1"/>
      <w:numFmt w:val="chineseCountingThousand"/>
      <w:lvlText w:val="%2、"/>
      <w:lvlJc w:val="left"/>
      <w:pPr>
        <w:tabs>
          <w:tab w:val="left" w:pos="0"/>
        </w:tabs>
        <w:ind w:left="0" w:firstLine="0"/>
      </w:pPr>
      <w:rPr>
        <w:rFonts w:hint="eastAsia"/>
        <w:b/>
        <w:i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3">
    <w:nsid w:val="00000023"/>
    <w:multiLevelType w:val="multilevel"/>
    <w:tmpl w:val="00000023"/>
    <w:lvl w:ilvl="0" w:tentative="0">
      <w:start w:val="1"/>
      <w:numFmt w:val="decimal"/>
      <w:lvlText w:val="%1."/>
      <w:lvlJc w:val="left"/>
      <w:pPr>
        <w:tabs>
          <w:tab w:val="left" w:pos="453"/>
        </w:tabs>
        <w:ind w:left="453" w:hanging="453"/>
      </w:pPr>
    </w:lvl>
    <w:lvl w:ilvl="1" w:tentative="0">
      <w:start w:val="1"/>
      <w:numFmt w:val="lowerLetter"/>
      <w:lvlText w:val="%2)"/>
      <w:lvlJc w:val="left"/>
      <w:pPr>
        <w:tabs>
          <w:tab w:val="left" w:pos="783"/>
        </w:tabs>
        <w:ind w:left="783" w:hanging="420"/>
      </w:pPr>
    </w:lvl>
    <w:lvl w:ilvl="2" w:tentative="0">
      <w:start w:val="1"/>
      <w:numFmt w:val="lowerRoman"/>
      <w:lvlText w:val="%3."/>
      <w:lvlJc w:val="right"/>
      <w:pPr>
        <w:tabs>
          <w:tab w:val="left" w:pos="1203"/>
        </w:tabs>
        <w:ind w:left="1203" w:hanging="420"/>
      </w:pPr>
    </w:lvl>
    <w:lvl w:ilvl="3" w:tentative="0">
      <w:start w:val="1"/>
      <w:numFmt w:val="decimal"/>
      <w:lvlText w:val="%4."/>
      <w:lvlJc w:val="left"/>
      <w:pPr>
        <w:tabs>
          <w:tab w:val="left" w:pos="1623"/>
        </w:tabs>
        <w:ind w:left="1623" w:hanging="420"/>
      </w:pPr>
    </w:lvl>
    <w:lvl w:ilvl="4" w:tentative="0">
      <w:start w:val="1"/>
      <w:numFmt w:val="lowerLetter"/>
      <w:lvlText w:val="%5)"/>
      <w:lvlJc w:val="left"/>
      <w:pPr>
        <w:tabs>
          <w:tab w:val="left" w:pos="2043"/>
        </w:tabs>
        <w:ind w:left="2043" w:hanging="420"/>
      </w:pPr>
    </w:lvl>
    <w:lvl w:ilvl="5" w:tentative="0">
      <w:start w:val="1"/>
      <w:numFmt w:val="lowerRoman"/>
      <w:lvlText w:val="%6."/>
      <w:lvlJc w:val="right"/>
      <w:pPr>
        <w:tabs>
          <w:tab w:val="left" w:pos="2463"/>
        </w:tabs>
        <w:ind w:left="2463" w:hanging="420"/>
      </w:pPr>
    </w:lvl>
    <w:lvl w:ilvl="6" w:tentative="0">
      <w:start w:val="1"/>
      <w:numFmt w:val="decimal"/>
      <w:lvlText w:val="%7."/>
      <w:lvlJc w:val="left"/>
      <w:pPr>
        <w:tabs>
          <w:tab w:val="left" w:pos="2883"/>
        </w:tabs>
        <w:ind w:left="2883" w:hanging="420"/>
      </w:pPr>
    </w:lvl>
    <w:lvl w:ilvl="7" w:tentative="0">
      <w:start w:val="1"/>
      <w:numFmt w:val="lowerLetter"/>
      <w:lvlText w:val="%8)"/>
      <w:lvlJc w:val="left"/>
      <w:pPr>
        <w:tabs>
          <w:tab w:val="left" w:pos="3303"/>
        </w:tabs>
        <w:ind w:left="3303" w:hanging="420"/>
      </w:pPr>
    </w:lvl>
    <w:lvl w:ilvl="8" w:tentative="0">
      <w:start w:val="1"/>
      <w:numFmt w:val="lowerRoman"/>
      <w:lvlText w:val="%9."/>
      <w:lvlJc w:val="right"/>
      <w:pPr>
        <w:tabs>
          <w:tab w:val="left" w:pos="3723"/>
        </w:tabs>
        <w:ind w:left="3723" w:hanging="420"/>
      </w:pPr>
    </w:lvl>
  </w:abstractNum>
  <w:abstractNum w:abstractNumId="24">
    <w:nsid w:val="00000024"/>
    <w:multiLevelType w:val="multilevel"/>
    <w:tmpl w:val="00000024"/>
    <w:lvl w:ilvl="0" w:tentative="0">
      <w:start w:val="6"/>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26"/>
    <w:multiLevelType w:val="multilevel"/>
    <w:tmpl w:val="00000026"/>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7"/>
    <w:multiLevelType w:val="multilevel"/>
    <w:tmpl w:val="00000027"/>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29"/>
    <w:multiLevelType w:val="singleLevel"/>
    <w:tmpl w:val="00000029"/>
    <w:lvl w:ilvl="0" w:tentative="0">
      <w:start w:val="2"/>
      <w:numFmt w:val="chineseCounting"/>
      <w:suff w:val="nothing"/>
      <w:lvlText w:val="%1、"/>
      <w:lvlJc w:val="left"/>
      <w:rPr>
        <w:rFonts w:hint="eastAsia"/>
      </w:rPr>
    </w:lvl>
  </w:abstractNum>
  <w:abstractNum w:abstractNumId="28">
    <w:nsid w:val="0000002A"/>
    <w:multiLevelType w:val="multilevel"/>
    <w:tmpl w:val="0000002A"/>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9">
    <w:nsid w:val="0000002B"/>
    <w:multiLevelType w:val="multilevel"/>
    <w:tmpl w:val="0000002B"/>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0">
    <w:nsid w:val="0000002D"/>
    <w:multiLevelType w:val="multilevel"/>
    <w:tmpl w:val="0000002D"/>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34"/>
    <w:multiLevelType w:val="multilevel"/>
    <w:tmpl w:val="0000003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0000037"/>
    <w:multiLevelType w:val="multilevel"/>
    <w:tmpl w:val="00000037"/>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33">
    <w:nsid w:val="0000003D"/>
    <w:multiLevelType w:val="multilevel"/>
    <w:tmpl w:val="0000003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00000048"/>
    <w:multiLevelType w:val="multilevel"/>
    <w:tmpl w:val="000000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5">
    <w:nsid w:val="0000004D"/>
    <w:multiLevelType w:val="multilevel"/>
    <w:tmpl w:val="0000004D"/>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00000054"/>
    <w:multiLevelType w:val="multilevel"/>
    <w:tmpl w:val="00000054"/>
    <w:lvl w:ilvl="0" w:tentative="0">
      <w:start w:val="1"/>
      <w:numFmt w:val="decimal"/>
      <w:lvlText w:val="%1)"/>
      <w:lvlJc w:val="left"/>
      <w:pPr>
        <w:tabs>
          <w:tab w:val="left" w:pos="420"/>
        </w:tabs>
        <w:ind w:left="420" w:hanging="420"/>
      </w:pPr>
      <w:rPr>
        <w:b w:val="0"/>
      </w:rPr>
    </w:lvl>
    <w:lvl w:ilvl="1" w:tentative="0">
      <w:start w:val="1"/>
      <w:numFmt w:val="bullet"/>
      <w:lvlText w:val=""/>
      <w:lvlJc w:val="left"/>
      <w:pPr>
        <w:tabs>
          <w:tab w:val="left" w:pos="840"/>
        </w:tabs>
        <w:ind w:left="840" w:hanging="420"/>
      </w:pPr>
      <w:rPr>
        <w:rFonts w:hint="default" w:ascii="Wingdings" w:hAnsi="Wingdings"/>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171E10EE"/>
    <w:multiLevelType w:val="singleLevel"/>
    <w:tmpl w:val="171E10EE"/>
    <w:lvl w:ilvl="0" w:tentative="0">
      <w:start w:val="1"/>
      <w:numFmt w:val="decimal"/>
      <w:lvlText w:val="%1."/>
      <w:lvlJc w:val="left"/>
      <w:pPr>
        <w:tabs>
          <w:tab w:val="left" w:pos="312"/>
        </w:tabs>
      </w:pPr>
    </w:lvl>
  </w:abstractNum>
  <w:abstractNum w:abstractNumId="38">
    <w:nsid w:val="51181D2A"/>
    <w:multiLevelType w:val="singleLevel"/>
    <w:tmpl w:val="51181D2A"/>
    <w:lvl w:ilvl="0" w:tentative="0">
      <w:start w:val="1"/>
      <w:numFmt w:val="decimal"/>
      <w:suff w:val="nothing"/>
      <w:lvlText w:val="%1）"/>
      <w:lvlJc w:val="left"/>
    </w:lvl>
  </w:abstractNum>
  <w:abstractNum w:abstractNumId="39">
    <w:nsid w:val="5438C2DE"/>
    <w:multiLevelType w:val="multilevel"/>
    <w:tmpl w:val="5438C2DE"/>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0">
    <w:nsid w:val="6455F6D3"/>
    <w:multiLevelType w:val="multilevel"/>
    <w:tmpl w:val="6455F6D3"/>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A337600"/>
    <w:multiLevelType w:val="singleLevel"/>
    <w:tmpl w:val="6A337600"/>
    <w:lvl w:ilvl="0" w:tentative="0">
      <w:start w:val="1"/>
      <w:numFmt w:val="decimal"/>
      <w:suff w:val="nothing"/>
      <w:lvlText w:val="%1、"/>
      <w:lvlJc w:val="left"/>
    </w:lvl>
  </w:abstractNum>
  <w:num w:numId="1">
    <w:abstractNumId w:val="38"/>
  </w:num>
  <w:num w:numId="2">
    <w:abstractNumId w:val="22"/>
  </w:num>
  <w:num w:numId="3">
    <w:abstractNumId w:val="0"/>
  </w:num>
  <w:num w:numId="4">
    <w:abstractNumId w:val="23"/>
  </w:num>
  <w:num w:numId="5">
    <w:abstractNumId w:val="37"/>
  </w:num>
  <w:num w:numId="6">
    <w:abstractNumId w:val="2"/>
  </w:num>
  <w:num w:numId="7">
    <w:abstractNumId w:val="7"/>
  </w:num>
  <w:num w:numId="8">
    <w:abstractNumId w:val="5"/>
  </w:num>
  <w:num w:numId="9">
    <w:abstractNumId w:val="35"/>
  </w:num>
  <w:num w:numId="10">
    <w:abstractNumId w:val="11"/>
  </w:num>
  <w:num w:numId="11">
    <w:abstractNumId w:val="31"/>
  </w:num>
  <w:num w:numId="12">
    <w:abstractNumId w:val="34"/>
  </w:num>
  <w:num w:numId="13">
    <w:abstractNumId w:val="33"/>
  </w:num>
  <w:num w:numId="14">
    <w:abstractNumId w:val="16"/>
  </w:num>
  <w:num w:numId="15">
    <w:abstractNumId w:val="9"/>
  </w:num>
  <w:num w:numId="16">
    <w:abstractNumId w:val="15"/>
  </w:num>
  <w:num w:numId="17">
    <w:abstractNumId w:val="41"/>
  </w:num>
  <w:num w:numId="18">
    <w:abstractNumId w:val="14"/>
  </w:num>
  <w:num w:numId="19">
    <w:abstractNumId w:val="3"/>
  </w:num>
  <w:num w:numId="20">
    <w:abstractNumId w:val="24"/>
  </w:num>
  <w:num w:numId="21">
    <w:abstractNumId w:val="27"/>
  </w:num>
  <w:num w:numId="22">
    <w:abstractNumId w:val="32"/>
  </w:num>
  <w:num w:numId="23">
    <w:abstractNumId w:val="8"/>
  </w:num>
  <w:num w:numId="24">
    <w:abstractNumId w:val="1"/>
  </w:num>
  <w:num w:numId="25">
    <w:abstractNumId w:val="39"/>
  </w:num>
  <w:num w:numId="26">
    <w:abstractNumId w:val="4"/>
  </w:num>
  <w:num w:numId="27">
    <w:abstractNumId w:val="36"/>
  </w:num>
  <w:num w:numId="28">
    <w:abstractNumId w:val="18"/>
  </w:num>
  <w:num w:numId="29">
    <w:abstractNumId w:val="26"/>
  </w:num>
  <w:num w:numId="30">
    <w:abstractNumId w:val="19"/>
  </w:num>
  <w:num w:numId="31">
    <w:abstractNumId w:val="40"/>
  </w:num>
  <w:num w:numId="32">
    <w:abstractNumId w:val="12"/>
  </w:num>
  <w:num w:numId="33">
    <w:abstractNumId w:val="25"/>
  </w:num>
  <w:num w:numId="34">
    <w:abstractNumId w:val="10"/>
  </w:num>
  <w:num w:numId="35">
    <w:abstractNumId w:val="17"/>
  </w:num>
  <w:num w:numId="36">
    <w:abstractNumId w:val="13"/>
  </w:num>
  <w:num w:numId="37">
    <w:abstractNumId w:val="30"/>
  </w:num>
  <w:num w:numId="38">
    <w:abstractNumId w:val="20"/>
  </w:num>
  <w:num w:numId="39">
    <w:abstractNumId w:val="21"/>
  </w:num>
  <w:num w:numId="40">
    <w:abstractNumId w:val="6"/>
  </w:num>
  <w:num w:numId="41">
    <w:abstractNumId w:val="2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67D41"/>
    <w:rsid w:val="014E068A"/>
    <w:rsid w:val="03566836"/>
    <w:rsid w:val="05787B90"/>
    <w:rsid w:val="05BE179C"/>
    <w:rsid w:val="06267D41"/>
    <w:rsid w:val="07303BD9"/>
    <w:rsid w:val="083105BA"/>
    <w:rsid w:val="0951266F"/>
    <w:rsid w:val="09561BA7"/>
    <w:rsid w:val="0A1F3CA4"/>
    <w:rsid w:val="0A200142"/>
    <w:rsid w:val="0B5644C5"/>
    <w:rsid w:val="0BDB04E2"/>
    <w:rsid w:val="0BEE245D"/>
    <w:rsid w:val="0DCA2A4D"/>
    <w:rsid w:val="0EBB2BE4"/>
    <w:rsid w:val="0EE53333"/>
    <w:rsid w:val="0F786028"/>
    <w:rsid w:val="0FB852B5"/>
    <w:rsid w:val="12542708"/>
    <w:rsid w:val="12877A77"/>
    <w:rsid w:val="15614D8F"/>
    <w:rsid w:val="166C1B2B"/>
    <w:rsid w:val="19415068"/>
    <w:rsid w:val="1A3C061E"/>
    <w:rsid w:val="1A5549FD"/>
    <w:rsid w:val="1A6C68CB"/>
    <w:rsid w:val="1D074F9B"/>
    <w:rsid w:val="1D7145BA"/>
    <w:rsid w:val="1E0C3F41"/>
    <w:rsid w:val="1EF51DA0"/>
    <w:rsid w:val="1FD73361"/>
    <w:rsid w:val="1FDA0258"/>
    <w:rsid w:val="202E3116"/>
    <w:rsid w:val="216E212E"/>
    <w:rsid w:val="228F52EA"/>
    <w:rsid w:val="22A7302B"/>
    <w:rsid w:val="22B7505E"/>
    <w:rsid w:val="237C496B"/>
    <w:rsid w:val="23C03108"/>
    <w:rsid w:val="24726BAB"/>
    <w:rsid w:val="248B3CD4"/>
    <w:rsid w:val="2506685C"/>
    <w:rsid w:val="259452BB"/>
    <w:rsid w:val="26977446"/>
    <w:rsid w:val="26CA589C"/>
    <w:rsid w:val="26EC37F5"/>
    <w:rsid w:val="27D45B51"/>
    <w:rsid w:val="28CA5FD2"/>
    <w:rsid w:val="29F068EA"/>
    <w:rsid w:val="2A5044BE"/>
    <w:rsid w:val="2CF14CF5"/>
    <w:rsid w:val="2D253733"/>
    <w:rsid w:val="2E5472ED"/>
    <w:rsid w:val="2F1E121B"/>
    <w:rsid w:val="2F7A3341"/>
    <w:rsid w:val="31022C41"/>
    <w:rsid w:val="31E551AA"/>
    <w:rsid w:val="3207561C"/>
    <w:rsid w:val="327E5B98"/>
    <w:rsid w:val="331857D1"/>
    <w:rsid w:val="337607C5"/>
    <w:rsid w:val="33845EFF"/>
    <w:rsid w:val="338E06C7"/>
    <w:rsid w:val="33A17FE7"/>
    <w:rsid w:val="34780C70"/>
    <w:rsid w:val="355D580E"/>
    <w:rsid w:val="3564634C"/>
    <w:rsid w:val="35742F86"/>
    <w:rsid w:val="35E50F06"/>
    <w:rsid w:val="364467D1"/>
    <w:rsid w:val="365C48CB"/>
    <w:rsid w:val="36981640"/>
    <w:rsid w:val="39B52E86"/>
    <w:rsid w:val="39B958D7"/>
    <w:rsid w:val="3AC53DFB"/>
    <w:rsid w:val="3B4B1811"/>
    <w:rsid w:val="3C024B78"/>
    <w:rsid w:val="3D224071"/>
    <w:rsid w:val="3D8C590D"/>
    <w:rsid w:val="3DF3568C"/>
    <w:rsid w:val="3E0F1980"/>
    <w:rsid w:val="3EEC0F39"/>
    <w:rsid w:val="3FF84FB0"/>
    <w:rsid w:val="4010158E"/>
    <w:rsid w:val="41627070"/>
    <w:rsid w:val="416D40B0"/>
    <w:rsid w:val="45145CBC"/>
    <w:rsid w:val="45495E3B"/>
    <w:rsid w:val="45961901"/>
    <w:rsid w:val="45F608F9"/>
    <w:rsid w:val="466D5494"/>
    <w:rsid w:val="471121B2"/>
    <w:rsid w:val="473D4935"/>
    <w:rsid w:val="47966CF1"/>
    <w:rsid w:val="486E697A"/>
    <w:rsid w:val="48B52FF4"/>
    <w:rsid w:val="49AE21B9"/>
    <w:rsid w:val="4AC26D8B"/>
    <w:rsid w:val="4B2D3702"/>
    <w:rsid w:val="4B71666D"/>
    <w:rsid w:val="4BCB3D12"/>
    <w:rsid w:val="4BEC7013"/>
    <w:rsid w:val="4C310AA4"/>
    <w:rsid w:val="4CA74DF2"/>
    <w:rsid w:val="4D030A37"/>
    <w:rsid w:val="4D0E6C72"/>
    <w:rsid w:val="4EF22D0B"/>
    <w:rsid w:val="526C2CE6"/>
    <w:rsid w:val="55110DB9"/>
    <w:rsid w:val="55303213"/>
    <w:rsid w:val="55B153B6"/>
    <w:rsid w:val="55E86343"/>
    <w:rsid w:val="56B35311"/>
    <w:rsid w:val="58DB53F0"/>
    <w:rsid w:val="59392941"/>
    <w:rsid w:val="593B6E59"/>
    <w:rsid w:val="5A801B40"/>
    <w:rsid w:val="5AD279DC"/>
    <w:rsid w:val="5AD37EDD"/>
    <w:rsid w:val="5AD76EB5"/>
    <w:rsid w:val="5AE1109C"/>
    <w:rsid w:val="5D540779"/>
    <w:rsid w:val="5E645C28"/>
    <w:rsid w:val="5E7A3527"/>
    <w:rsid w:val="5E806A4E"/>
    <w:rsid w:val="5F4D3474"/>
    <w:rsid w:val="604B23D0"/>
    <w:rsid w:val="607004E6"/>
    <w:rsid w:val="614D1BAD"/>
    <w:rsid w:val="61F96DB9"/>
    <w:rsid w:val="625F769B"/>
    <w:rsid w:val="63E440E6"/>
    <w:rsid w:val="65D241BA"/>
    <w:rsid w:val="65FA4175"/>
    <w:rsid w:val="66134461"/>
    <w:rsid w:val="66CB2907"/>
    <w:rsid w:val="673B2799"/>
    <w:rsid w:val="67E6100B"/>
    <w:rsid w:val="67FA5402"/>
    <w:rsid w:val="687B3DFC"/>
    <w:rsid w:val="6B33714A"/>
    <w:rsid w:val="6BBE54C9"/>
    <w:rsid w:val="6C4C204B"/>
    <w:rsid w:val="6C8B17EC"/>
    <w:rsid w:val="6CA21722"/>
    <w:rsid w:val="6CEE19B7"/>
    <w:rsid w:val="6D8245C4"/>
    <w:rsid w:val="6EE41264"/>
    <w:rsid w:val="6EE41EB4"/>
    <w:rsid w:val="6FF95687"/>
    <w:rsid w:val="74050BD3"/>
    <w:rsid w:val="757F789E"/>
    <w:rsid w:val="77CE3C15"/>
    <w:rsid w:val="77EF71FC"/>
    <w:rsid w:val="77FF5403"/>
    <w:rsid w:val="783D1171"/>
    <w:rsid w:val="7A01123B"/>
    <w:rsid w:val="7AAD5AA2"/>
    <w:rsid w:val="7BDD400B"/>
    <w:rsid w:val="7C0046E6"/>
    <w:rsid w:val="7C9C1F50"/>
    <w:rsid w:val="7D1148FB"/>
    <w:rsid w:val="7D35735C"/>
    <w:rsid w:val="7D980E6F"/>
    <w:rsid w:val="7EC341B4"/>
    <w:rsid w:val="7F49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paragraph" w:styleId="7">
    <w:name w:val="heading 1"/>
    <w:basedOn w:val="1"/>
    <w:next w:val="1"/>
    <w:qFormat/>
    <w:uiPriority w:val="0"/>
    <w:pPr>
      <w:autoSpaceDE w:val="0"/>
      <w:autoSpaceDN w:val="0"/>
      <w:adjustRightInd w:val="0"/>
      <w:ind w:left="425" w:hanging="425"/>
      <w:jc w:val="center"/>
      <w:outlineLvl w:val="0"/>
    </w:pPr>
    <w:rPr>
      <w:rFonts w:cs="Times New Roman"/>
      <w:b/>
      <w:kern w:val="0"/>
      <w:sz w:val="52"/>
      <w:szCs w:val="20"/>
    </w:rPr>
  </w:style>
  <w:style w:type="paragraph" w:styleId="8">
    <w:name w:val="heading 2"/>
    <w:basedOn w:val="1"/>
    <w:next w:val="1"/>
    <w:qFormat/>
    <w:uiPriority w:val="0"/>
    <w:pPr>
      <w:autoSpaceDE w:val="0"/>
      <w:autoSpaceDN w:val="0"/>
      <w:adjustRightInd w:val="0"/>
      <w:spacing w:line="360" w:lineRule="auto"/>
      <w:jc w:val="center"/>
      <w:outlineLvl w:val="1"/>
    </w:pPr>
    <w:rPr>
      <w:rFonts w:ascii="宋体" w:hAnsi="宋体" w:cs="Times New Roman"/>
      <w:b/>
      <w:color w:val="000000"/>
      <w:kern w:val="0"/>
      <w:sz w:val="30"/>
      <w:szCs w:val="20"/>
    </w:rPr>
  </w:style>
  <w:style w:type="paragraph" w:styleId="9">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cs="Times New Roman"/>
      <w:b/>
      <w:color w:val="000000"/>
      <w:kern w:val="0"/>
      <w:sz w:val="20"/>
      <w:szCs w:val="20"/>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Normal]"/>
    <w:basedOn w:val="3"/>
    <w:qFormat/>
    <w:uiPriority w:val="0"/>
    <w:pPr>
      <w:widowControl/>
      <w:jc w:val="left"/>
    </w:pPr>
    <w:rPr>
      <w:rFonts w:ascii="宋体" w:hAnsi="宋体" w:cs="宋体"/>
      <w:kern w:val="0"/>
      <w:sz w:val="24"/>
      <w:szCs w:val="24"/>
    </w:rPr>
  </w:style>
  <w:style w:type="paragraph" w:customStyle="1" w:styleId="3">
    <w:name w:val="正文_1_0"/>
    <w:basedOn w:val="4"/>
    <w:next w:val="7"/>
    <w:qFormat/>
    <w:uiPriority w:val="0"/>
    <w:rPr>
      <w:szCs w:val="21"/>
    </w:rPr>
  </w:style>
  <w:style w:type="paragraph" w:customStyle="1" w:styleId="4">
    <w:name w:val="正文_1"/>
    <w:next w:val="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
    <w:name w:val="Plain Text1"/>
    <w:basedOn w:val="6"/>
    <w:qFormat/>
    <w:uiPriority w:val="0"/>
    <w:rPr>
      <w:rFonts w:ascii="宋体" w:hAnsi="Courier New"/>
      <w:szCs w:val="20"/>
    </w:rPr>
  </w:style>
  <w:style w:type="paragraph" w:customStyle="1" w:styleId="6">
    <w:name w:val="正文_2"/>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Normal Indent"/>
    <w:basedOn w:val="1"/>
    <w:next w:val="1"/>
    <w:qFormat/>
    <w:uiPriority w:val="0"/>
    <w:pPr>
      <w:tabs>
        <w:tab w:val="left" w:pos="720"/>
      </w:tabs>
      <w:autoSpaceDE w:val="0"/>
      <w:autoSpaceDN w:val="0"/>
      <w:adjustRightInd w:val="0"/>
      <w:snapToGrid w:val="0"/>
      <w:spacing w:before="120" w:after="120" w:line="360" w:lineRule="auto"/>
      <w:ind w:left="624" w:hanging="624"/>
      <w:textAlignment w:val="baseline"/>
    </w:pPr>
    <w:rPr>
      <w:rFonts w:ascii="宋体"/>
      <w:snapToGrid w:val="0"/>
      <w:color w:val="000000"/>
    </w:rPr>
  </w:style>
  <w:style w:type="paragraph" w:styleId="11">
    <w:name w:val="caption"/>
    <w:basedOn w:val="1"/>
    <w:next w:val="1"/>
    <w:qFormat/>
    <w:uiPriority w:val="0"/>
    <w:pPr>
      <w:spacing w:before="152" w:beforeLines="0" w:after="160" w:afterLines="0"/>
    </w:pPr>
    <w:rPr>
      <w:rFonts w:ascii="Arial" w:hAnsi="Arial" w:eastAsia="黑体" w:cs="Arial"/>
      <w:sz w:val="20"/>
      <w:szCs w:val="20"/>
    </w:rPr>
  </w:style>
  <w:style w:type="paragraph" w:styleId="12">
    <w:name w:val="annotation text"/>
    <w:basedOn w:val="1"/>
    <w:qFormat/>
    <w:uiPriority w:val="0"/>
    <w:pPr>
      <w:jc w:val="left"/>
    </w:pPr>
  </w:style>
  <w:style w:type="paragraph" w:styleId="13">
    <w:name w:val="Body Text"/>
    <w:basedOn w:val="1"/>
    <w:next w:val="1"/>
    <w:qFormat/>
    <w:uiPriority w:val="0"/>
    <w:rPr>
      <w:rFonts w:ascii="宋体" w:hAnsi="宋体" w:cs="Times New Roman"/>
      <w:kern w:val="0"/>
      <w:sz w:val="28"/>
      <w:szCs w:val="21"/>
    </w:rPr>
  </w:style>
  <w:style w:type="paragraph" w:styleId="14">
    <w:name w:val="Body Text Indent"/>
    <w:basedOn w:val="1"/>
    <w:next w:val="10"/>
    <w:qFormat/>
    <w:uiPriority w:val="0"/>
    <w:pPr>
      <w:spacing w:line="620" w:lineRule="exact"/>
      <w:ind w:firstLine="634" w:firstLineChars="198"/>
    </w:pPr>
    <w:rPr>
      <w:rFonts w:ascii="Calibri" w:hAnsi="Calibri" w:eastAsia="宋体" w:cs="Times New Roman"/>
      <w:kern w:val="0"/>
      <w:sz w:val="32"/>
      <w:szCs w:val="20"/>
    </w:rPr>
  </w:style>
  <w:style w:type="paragraph" w:styleId="15">
    <w:name w:val="toc 3"/>
    <w:basedOn w:val="1"/>
    <w:next w:val="1"/>
    <w:qFormat/>
    <w:uiPriority w:val="0"/>
    <w:pPr>
      <w:ind w:left="840" w:leftChars="400"/>
    </w:pPr>
    <w:rPr>
      <w:rFonts w:ascii="Calibri" w:hAnsi="Calibri" w:eastAsia="宋体" w:cs="Times New Roman"/>
      <w:szCs w:val="21"/>
    </w:rPr>
  </w:style>
  <w:style w:type="paragraph" w:styleId="16">
    <w:name w:val="endnote text"/>
    <w:basedOn w:val="1"/>
    <w:qFormat/>
    <w:uiPriority w:val="0"/>
    <w:pPr>
      <w:snapToGrid w:val="0"/>
      <w:jc w:val="left"/>
    </w:pPr>
    <w:rPr>
      <w:rFonts w:ascii="宋体" w:hAnsi="宋体"/>
      <w:kern w:val="0"/>
      <w:sz w:val="28"/>
    </w:rPr>
  </w:style>
  <w:style w:type="paragraph" w:styleId="17">
    <w:name w:val="footer"/>
    <w:basedOn w:val="1"/>
    <w:qFormat/>
    <w:uiPriority w:val="0"/>
    <w:pPr>
      <w:tabs>
        <w:tab w:val="center" w:pos="4153"/>
        <w:tab w:val="right" w:pos="8306"/>
      </w:tabs>
      <w:snapToGrid w:val="0"/>
      <w:jc w:val="left"/>
    </w:pPr>
    <w:rPr>
      <w:rFonts w:cs="Times New Roman"/>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ahoma" w:hAnsi="Tahoma" w:cs="Times New Roman"/>
      <w:sz w:val="18"/>
      <w:szCs w:val="18"/>
    </w:rPr>
  </w:style>
  <w:style w:type="paragraph" w:styleId="19">
    <w:name w:val="toc 1"/>
    <w:basedOn w:val="1"/>
    <w:next w:val="1"/>
    <w:qFormat/>
    <w:uiPriority w:val="0"/>
    <w:rPr>
      <w:rFonts w:ascii="Calibri" w:hAnsi="Calibri" w:eastAsia="宋体" w:cs="Times New Roman"/>
      <w:szCs w:val="21"/>
    </w:rPr>
  </w:style>
  <w:style w:type="paragraph" w:styleId="20">
    <w:name w:val="toc 2"/>
    <w:basedOn w:val="1"/>
    <w:next w:val="1"/>
    <w:qFormat/>
    <w:uiPriority w:val="0"/>
    <w:pPr>
      <w:ind w:left="420" w:leftChars="200"/>
    </w:pPr>
    <w:rPr>
      <w:rFonts w:ascii="Calibri" w:hAnsi="Calibri" w:eastAsia="宋体" w:cs="Times New Roman"/>
      <w:szCs w:val="21"/>
    </w:rPr>
  </w:style>
  <w:style w:type="paragraph" w:styleId="21">
    <w:name w:val="Normal (Web)"/>
    <w:basedOn w:val="1"/>
    <w:qFormat/>
    <w:uiPriority w:val="0"/>
    <w:pPr>
      <w:spacing w:line="360" w:lineRule="auto"/>
    </w:pPr>
    <w:rPr>
      <w:rFonts w:ascii="Times New Roman" w:hAnsi="Times New Roman" w:cs="Times New Roman"/>
      <w:sz w:val="24"/>
      <w:szCs w:val="24"/>
    </w:rPr>
  </w:style>
  <w:style w:type="paragraph" w:styleId="22">
    <w:name w:val="Body Text First Indent"/>
    <w:basedOn w:val="1"/>
    <w:qFormat/>
    <w:uiPriority w:val="0"/>
    <w:pPr>
      <w:spacing w:after="0" w:afterLines="0"/>
      <w:ind w:firstLine="420" w:firstLineChars="100"/>
      <w:jc w:val="center"/>
    </w:pPr>
    <w:rPr>
      <w:rFonts w:ascii="Times New Roman" w:hAnsi="Times New Roman" w:eastAsia="华文楷体" w:cs="Times New Roman"/>
      <w:b/>
      <w:color w:val="FF0000"/>
      <w:w w:val="200"/>
      <w:sz w:val="36"/>
      <w:szCs w:val="20"/>
    </w:rPr>
  </w:style>
  <w:style w:type="paragraph" w:styleId="23">
    <w:name w:val="Body Text First Indent 2"/>
    <w:basedOn w:val="14"/>
    <w:next w:val="1"/>
    <w:qFormat/>
    <w:uiPriority w:val="0"/>
    <w:pPr>
      <w:ind w:firstLine="420" w:firstLineChars="200"/>
    </w:pPr>
    <w:rPr>
      <w:rFonts w:ascii="Times New Roman" w:hAnsi="Times New Roman" w:eastAsia="宋体" w:cs="Times New Roma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0"/>
    <w:rPr>
      <w:rFonts w:ascii="Tahoma" w:hAnsi="Tahoma"/>
      <w:color w:val="0000FF"/>
      <w:sz w:val="24"/>
      <w:szCs w:val="20"/>
      <w:u w:val="single"/>
    </w:rPr>
  </w:style>
  <w:style w:type="paragraph" w:customStyle="1" w:styleId="30">
    <w:name w:val="表格文字"/>
    <w:basedOn w:val="1"/>
    <w:qFormat/>
    <w:uiPriority w:val="0"/>
    <w:pPr>
      <w:spacing w:before="25" w:beforeLines="0" w:after="25" w:afterLines="0"/>
      <w:jc w:val="left"/>
    </w:pPr>
    <w:rPr>
      <w:rFonts w:ascii="Times New Roman" w:hAnsi="Times New Roman" w:cs="Times New Roman"/>
      <w:bCs/>
      <w:spacing w:val="10"/>
      <w:kern w:val="0"/>
      <w:sz w:val="24"/>
      <w:szCs w:val="20"/>
    </w:rPr>
  </w:style>
  <w:style w:type="paragraph" w:customStyle="1" w:styleId="31">
    <w:name w:val="文本块1"/>
    <w:basedOn w:val="1"/>
    <w:qFormat/>
    <w:uiPriority w:val="0"/>
    <w:pPr>
      <w:ind w:left="1440" w:leftChars="700" w:right="1440" w:rightChars="700"/>
    </w:pPr>
  </w:style>
  <w:style w:type="paragraph" w:customStyle="1" w:styleId="32">
    <w:name w:val="题注4"/>
    <w:basedOn w:val="1"/>
    <w:next w:val="11"/>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33">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4">
    <w:name w:val="题注6"/>
    <w:basedOn w:val="1"/>
    <w:next w:val="11"/>
    <w:qFormat/>
    <w:uiPriority w:val="0"/>
    <w:pPr>
      <w:tabs>
        <w:tab w:val="left" w:pos="720"/>
      </w:tabs>
      <w:ind w:left="720"/>
    </w:pPr>
    <w:rPr>
      <w:rFonts w:ascii="Calibri" w:hAnsi="Calibri" w:eastAsia="宋体" w:cs="Times New Roman"/>
      <w:bCs/>
      <w:szCs w:val="21"/>
    </w:rPr>
  </w:style>
  <w:style w:type="paragraph" w:customStyle="1" w:styleId="35">
    <w:name w:val="图"/>
    <w:basedOn w:val="1"/>
    <w:qFormat/>
    <w:uiPriority w:val="0"/>
    <w:pPr>
      <w:keepNext/>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rPr>
  </w:style>
  <w:style w:type="paragraph" w:customStyle="1" w:styleId="36">
    <w:name w:val="Body Text 3"/>
    <w:basedOn w:val="1"/>
    <w:qFormat/>
    <w:uiPriority w:val="0"/>
    <w:rPr>
      <w:rFonts w:cs="Times New Roman"/>
      <w:color w:val="FF0000"/>
      <w:kern w:val="0"/>
      <w:sz w:val="20"/>
      <w:szCs w:val="21"/>
    </w:rPr>
  </w:style>
  <w:style w:type="paragraph" w:customStyle="1" w:styleId="37">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8">
    <w:name w:val="题注5"/>
    <w:basedOn w:val="1"/>
    <w:next w:val="11"/>
    <w:qFormat/>
    <w:uiPriority w:val="0"/>
    <w:pPr>
      <w:jc w:val="center"/>
    </w:pPr>
    <w:rPr>
      <w:rFonts w:ascii="Calibri" w:hAnsi="Calibri" w:eastAsia="宋体" w:cs="Times New Roman"/>
      <w:b/>
      <w:color w:val="000000"/>
      <w:sz w:val="24"/>
      <w:szCs w:val="21"/>
    </w:rPr>
  </w:style>
  <w:style w:type="paragraph" w:customStyle="1" w:styleId="39">
    <w:name w:val="Table Paragraph"/>
    <w:basedOn w:val="1"/>
    <w:qFormat/>
    <w:uiPriority w:val="1"/>
    <w:rPr>
      <w:rFonts w:ascii="宋体" w:hAnsi="宋体" w:eastAsia="宋体" w:cs="宋体"/>
      <w:lang w:val="zh-CN" w:eastAsia="zh-CN" w:bidi="zh-CN"/>
    </w:rPr>
  </w:style>
  <w:style w:type="paragraph" w:customStyle="1" w:styleId="40">
    <w:name w:val="正文 首行缩进"/>
    <w:basedOn w:val="1"/>
    <w:qFormat/>
    <w:uiPriority w:val="0"/>
    <w:pPr>
      <w:adjustRightInd w:val="0"/>
      <w:spacing w:line="360" w:lineRule="auto"/>
      <w:ind w:firstLine="437"/>
      <w:jc w:val="left"/>
    </w:pPr>
    <w:rPr>
      <w:rFonts w:hint="eastAsia" w:ascii="宋体" w:hAnsi="宋体"/>
      <w:kern w:val="0"/>
      <w:sz w:val="24"/>
      <w:szCs w:val="21"/>
    </w:rPr>
  </w:style>
  <w:style w:type="paragraph" w:customStyle="1" w:styleId="41">
    <w:name w:val="_Style 3"/>
    <w:basedOn w:val="1"/>
    <w:qFormat/>
    <w:uiPriority w:val="0"/>
    <w:pPr>
      <w:ind w:firstLine="420" w:firstLineChars="200"/>
    </w:pPr>
    <w:rPr>
      <w:sz w:val="20"/>
    </w:rPr>
  </w:style>
  <w:style w:type="paragraph" w:customStyle="1" w:styleId="42">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17.wmf"/><Relationship Id="rId62" Type="http://schemas.openxmlformats.org/officeDocument/2006/relationships/oleObject" Target="embeddings/oleObject19.bin"/><Relationship Id="rId61" Type="http://schemas.openxmlformats.org/officeDocument/2006/relationships/image" Target="media/image16.wmf"/><Relationship Id="rId60" Type="http://schemas.openxmlformats.org/officeDocument/2006/relationships/oleObject" Target="embeddings/oleObject18.bin"/><Relationship Id="rId6" Type="http://schemas.openxmlformats.org/officeDocument/2006/relationships/footer" Target="footer1.xml"/><Relationship Id="rId59" Type="http://schemas.openxmlformats.org/officeDocument/2006/relationships/image" Target="media/image15.wmf"/><Relationship Id="rId58" Type="http://schemas.openxmlformats.org/officeDocument/2006/relationships/oleObject" Target="embeddings/oleObject17.bin"/><Relationship Id="rId57" Type="http://schemas.openxmlformats.org/officeDocument/2006/relationships/oleObject" Target="embeddings/oleObject16.bin"/><Relationship Id="rId56" Type="http://schemas.openxmlformats.org/officeDocument/2006/relationships/image" Target="media/image14.wmf"/><Relationship Id="rId55" Type="http://schemas.openxmlformats.org/officeDocument/2006/relationships/oleObject" Target="embeddings/oleObject15.bin"/><Relationship Id="rId54" Type="http://schemas.openxmlformats.org/officeDocument/2006/relationships/image" Target="media/image13.wmf"/><Relationship Id="rId53" Type="http://schemas.openxmlformats.org/officeDocument/2006/relationships/oleObject" Target="embeddings/oleObject14.bin"/><Relationship Id="rId52" Type="http://schemas.openxmlformats.org/officeDocument/2006/relationships/image" Target="media/image12.wmf"/><Relationship Id="rId51" Type="http://schemas.openxmlformats.org/officeDocument/2006/relationships/oleObject" Target="embeddings/oleObject13.bin"/><Relationship Id="rId50" Type="http://schemas.openxmlformats.org/officeDocument/2006/relationships/image" Target="media/image11.wmf"/><Relationship Id="rId5" Type="http://schemas.openxmlformats.org/officeDocument/2006/relationships/header" Target="header3.xml"/><Relationship Id="rId49" Type="http://schemas.openxmlformats.org/officeDocument/2006/relationships/oleObject" Target="embeddings/oleObject12.bin"/><Relationship Id="rId48" Type="http://schemas.openxmlformats.org/officeDocument/2006/relationships/image" Target="media/image10.wmf"/><Relationship Id="rId47" Type="http://schemas.openxmlformats.org/officeDocument/2006/relationships/oleObject" Target="embeddings/oleObject11.bin"/><Relationship Id="rId46" Type="http://schemas.openxmlformats.org/officeDocument/2006/relationships/image" Target="media/image9.wmf"/><Relationship Id="rId45" Type="http://schemas.openxmlformats.org/officeDocument/2006/relationships/oleObject" Target="embeddings/oleObject10.bin"/><Relationship Id="rId44" Type="http://schemas.openxmlformats.org/officeDocument/2006/relationships/image" Target="media/image8.wmf"/><Relationship Id="rId43" Type="http://schemas.openxmlformats.org/officeDocument/2006/relationships/oleObject" Target="embeddings/oleObject9.bin"/><Relationship Id="rId42" Type="http://schemas.openxmlformats.org/officeDocument/2006/relationships/oleObject" Target="embeddings/oleObject8.bin"/><Relationship Id="rId41" Type="http://schemas.openxmlformats.org/officeDocument/2006/relationships/image" Target="media/image7.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6.wmf"/><Relationship Id="rId38" Type="http://schemas.openxmlformats.org/officeDocument/2006/relationships/oleObject" Target="embeddings/oleObject6.bin"/><Relationship Id="rId37" Type="http://schemas.openxmlformats.org/officeDocument/2006/relationships/image" Target="media/image5.wmf"/><Relationship Id="rId36" Type="http://schemas.openxmlformats.org/officeDocument/2006/relationships/oleObject" Target="embeddings/oleObject5.bin"/><Relationship Id="rId35" Type="http://schemas.openxmlformats.org/officeDocument/2006/relationships/image" Target="media/image4.wmf"/><Relationship Id="rId34" Type="http://schemas.openxmlformats.org/officeDocument/2006/relationships/oleObject" Target="embeddings/oleObject4.bin"/><Relationship Id="rId33" Type="http://schemas.openxmlformats.org/officeDocument/2006/relationships/image" Target="media/image3.wmf"/><Relationship Id="rId32" Type="http://schemas.openxmlformats.org/officeDocument/2006/relationships/oleObject" Target="embeddings/oleObject3.bin"/><Relationship Id="rId31" Type="http://schemas.openxmlformats.org/officeDocument/2006/relationships/image" Target="media/image2.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1.wmf"/><Relationship Id="rId28" Type="http://schemas.openxmlformats.org/officeDocument/2006/relationships/oleObject" Target="embeddings/oleObject1.bin"/><Relationship Id="rId27" Type="http://schemas.openxmlformats.org/officeDocument/2006/relationships/theme" Target="theme/theme1.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56480</Words>
  <Characters>59131</Characters>
  <Lines>0</Lines>
  <Paragraphs>0</Paragraphs>
  <TotalTime>36</TotalTime>
  <ScaleCrop>false</ScaleCrop>
  <LinksUpToDate>false</LinksUpToDate>
  <CharactersWithSpaces>61471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2020-09-16T02:10:00Z</dcterms:created>
  <dc:creator>NTKO</dc:creator>
  <cp:lastModifiedBy>易</cp:lastModifiedBy>
  <cp:lastPrinted>2021-11-23T07:59:00Z</cp:lastPrinted>
  <dcterms:modified xsi:type="dcterms:W3CDTF">2021-12-05T04:03:10Z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01BFE2AEC3CF45249F6AA6C3F2239953</vt:lpwstr>
  </property>
</Properties>
</file>